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w:t>
      </w:r>
    </w:p>
    <w:p>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к Решению Совета депутатов</w:t>
      </w:r>
    </w:p>
    <w:p>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городского округа Анадырь</w:t>
      </w:r>
    </w:p>
    <w:p>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от 28 апреля 2022 года № 234</w:t>
      </w:r>
    </w:p>
    <w:p>
      <w:pPr>
        <w:spacing w:after="0" w:line="240" w:lineRule="auto"/>
        <w:jc w:val="right"/>
        <w:rPr>
          <w:rFonts w:ascii="Times New Roman" w:eastAsia="Times New Roman" w:hAnsi="Times New Roman" w:cs="Times New Roman"/>
          <w:sz w:val="28"/>
          <w:szCs w:val="28"/>
        </w:rPr>
      </w:pPr>
    </w:p>
    <w:p>
      <w:pPr>
        <w:pStyle w:val="aff8"/>
        <w:tabs>
          <w:tab w:val="left" w:pos="4575"/>
          <w:tab w:val="left" w:pos="9214"/>
        </w:tabs>
        <w:spacing w:before="0" w:after="0" w:line="240" w:lineRule="auto"/>
        <w:ind w:right="567" w:firstLine="142"/>
        <w:jc w:val="center"/>
        <w:rPr>
          <w:rFonts w:ascii="Times New Roman" w:eastAsiaTheme="minorHAnsi" w:hAnsi="Times New Roman"/>
          <w:b/>
          <w:bCs/>
          <w:sz w:val="28"/>
          <w:szCs w:val="22"/>
          <w:lang w:eastAsia="en-US"/>
        </w:rPr>
      </w:pPr>
    </w:p>
    <w:p>
      <w:pPr>
        <w:pStyle w:val="aff8"/>
        <w:tabs>
          <w:tab w:val="left" w:pos="4575"/>
          <w:tab w:val="left" w:pos="9214"/>
        </w:tabs>
        <w:spacing w:before="0" w:after="0" w:line="240" w:lineRule="auto"/>
        <w:ind w:right="567" w:firstLine="142"/>
        <w:jc w:val="center"/>
        <w:rPr>
          <w:rFonts w:ascii="Times New Roman" w:eastAsiaTheme="minorHAnsi" w:hAnsi="Times New Roman"/>
          <w:b/>
          <w:bCs/>
          <w:sz w:val="28"/>
          <w:szCs w:val="22"/>
          <w:lang w:eastAsia="en-US"/>
        </w:rPr>
      </w:pPr>
    </w:p>
    <w:p>
      <w:pPr>
        <w:pStyle w:val="aff8"/>
        <w:tabs>
          <w:tab w:val="left" w:pos="9214"/>
        </w:tabs>
        <w:spacing w:before="0" w:after="0" w:line="240" w:lineRule="auto"/>
        <w:ind w:right="567" w:firstLine="142"/>
        <w:jc w:val="center"/>
        <w:rPr>
          <w:rFonts w:ascii="Times New Roman" w:eastAsiaTheme="minorHAnsi" w:hAnsi="Times New Roman"/>
          <w:b/>
          <w:bCs/>
          <w:sz w:val="28"/>
          <w:szCs w:val="22"/>
          <w:lang w:eastAsia="en-US"/>
        </w:rPr>
      </w:pPr>
      <w:r>
        <w:rPr>
          <w:noProof/>
        </w:rPr>
        <w:drawing>
          <wp:inline distT="0" distB="0" distL="0" distR="0">
            <wp:extent cx="809625" cy="10096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09625" cy="1009650"/>
                    </a:xfrm>
                    <a:prstGeom prst="rect">
                      <a:avLst/>
                    </a:prstGeom>
                    <a:noFill/>
                    <a:ln>
                      <a:noFill/>
                    </a:ln>
                  </pic:spPr>
                </pic:pic>
              </a:graphicData>
            </a:graphic>
          </wp:inline>
        </w:drawing>
      </w:r>
    </w:p>
    <w:p>
      <w:pPr>
        <w:pStyle w:val="aff8"/>
        <w:tabs>
          <w:tab w:val="left" w:pos="9214"/>
        </w:tabs>
        <w:spacing w:before="0" w:after="0" w:line="240" w:lineRule="auto"/>
        <w:ind w:right="567" w:firstLine="142"/>
        <w:jc w:val="center"/>
        <w:rPr>
          <w:rFonts w:ascii="Times New Roman" w:eastAsiaTheme="minorHAnsi" w:hAnsi="Times New Roman"/>
          <w:b/>
          <w:bCs/>
          <w:sz w:val="28"/>
          <w:szCs w:val="22"/>
          <w:lang w:eastAsia="en-US"/>
        </w:rPr>
      </w:pPr>
    </w:p>
    <w:p>
      <w:pPr>
        <w:ind w:left="709" w:right="567" w:hanging="709"/>
        <w:jc w:val="center"/>
        <w:rPr>
          <w:rFonts w:ascii="Times New Roman" w:hAnsi="Times New Roman" w:cs="Times New Roman"/>
          <w:b/>
          <w:bCs/>
          <w:sz w:val="28"/>
        </w:rPr>
      </w:pPr>
    </w:p>
    <w:p>
      <w:pPr>
        <w:spacing w:after="0"/>
        <w:jc w:val="center"/>
        <w:rPr>
          <w:rFonts w:ascii="Arial" w:hAnsi="Arial" w:cs="Arial"/>
          <w:b/>
          <w:sz w:val="28"/>
          <w:szCs w:val="28"/>
        </w:rPr>
      </w:pPr>
      <w:bookmarkStart w:id="0" w:name="_GoBack"/>
      <w:bookmarkEnd w:id="0"/>
      <w:r>
        <w:rPr>
          <w:rFonts w:ascii="Arial" w:hAnsi="Arial" w:cs="Arial"/>
          <w:b/>
          <w:sz w:val="28"/>
          <w:szCs w:val="28"/>
        </w:rPr>
        <w:t xml:space="preserve">Правила землепользования и застройки </w:t>
      </w:r>
    </w:p>
    <w:p>
      <w:pPr>
        <w:jc w:val="center"/>
        <w:rPr>
          <w:rFonts w:ascii="Arial" w:hAnsi="Arial" w:cs="Arial"/>
          <w:b/>
          <w:bCs/>
          <w:sz w:val="28"/>
          <w:szCs w:val="28"/>
        </w:rPr>
      </w:pPr>
      <w:r>
        <w:rPr>
          <w:rFonts w:ascii="Arial" w:hAnsi="Arial" w:cs="Arial"/>
          <w:b/>
          <w:sz w:val="28"/>
          <w:szCs w:val="28"/>
        </w:rPr>
        <w:t>городского округа Анадырь</w:t>
      </w:r>
    </w:p>
    <w:p>
      <w:pPr>
        <w:jc w:val="center"/>
        <w:rPr>
          <w:rFonts w:ascii="Arial" w:hAnsi="Arial" w:cs="Arial"/>
          <w:b/>
          <w:bCs/>
          <w:sz w:val="28"/>
          <w:szCs w:val="28"/>
        </w:rPr>
      </w:pPr>
    </w:p>
    <w:p>
      <w:pPr>
        <w:jc w:val="center"/>
        <w:rPr>
          <w:rFonts w:ascii="Arial" w:hAnsi="Arial" w:cs="Arial"/>
          <w:b/>
          <w:sz w:val="28"/>
          <w:szCs w:val="28"/>
        </w:rPr>
      </w:pPr>
      <w:r>
        <w:rPr>
          <w:rFonts w:ascii="Arial" w:hAnsi="Arial" w:cs="Arial"/>
          <w:b/>
          <w:sz w:val="28"/>
          <w:szCs w:val="28"/>
        </w:rPr>
        <w:br/>
        <w:t>183-01/ПЗЗ</w:t>
      </w:r>
    </w:p>
    <w:p>
      <w:pPr>
        <w:jc w:val="center"/>
        <w:rPr>
          <w:rFonts w:ascii="Times New Roman" w:hAnsi="Times New Roman" w:cs="Times New Roman"/>
          <w:b/>
        </w:rPr>
      </w:pPr>
      <w:r>
        <w:rPr>
          <w:noProof/>
          <w:lang w:eastAsia="ru-RU"/>
        </w:rPr>
        <w:drawing>
          <wp:inline distT="0" distB="0" distL="0" distR="0">
            <wp:extent cx="6134100" cy="32670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4100" cy="3267075"/>
                    </a:xfrm>
                    <a:prstGeom prst="rect">
                      <a:avLst/>
                    </a:prstGeom>
                    <a:noFill/>
                    <a:ln>
                      <a:noFill/>
                    </a:ln>
                  </pic:spPr>
                </pic:pic>
              </a:graphicData>
            </a:graphic>
          </wp:inline>
        </w:drawing>
      </w:r>
    </w:p>
    <w:p>
      <w:pPr>
        <w:jc w:val="center"/>
        <w:rPr>
          <w:rFonts w:ascii="Times New Roman" w:hAnsi="Times New Roman" w:cs="Times New Roman"/>
          <w:b/>
        </w:rPr>
      </w:pPr>
    </w:p>
    <w:p>
      <w:pPr>
        <w:jc w:val="center"/>
        <w:rPr>
          <w:rFonts w:ascii="Times New Roman" w:hAnsi="Times New Roman" w:cs="Times New Roman"/>
          <w:b/>
        </w:rPr>
      </w:pPr>
    </w:p>
    <w:p>
      <w:pPr>
        <w:pStyle w:val="0"/>
        <w:rPr>
          <w:rFonts w:cs="Arial"/>
          <w:b/>
          <w:szCs w:val="24"/>
        </w:rPr>
      </w:pPr>
      <w:r>
        <w:rPr>
          <w:rFonts w:cs="Arial"/>
          <w:b/>
          <w:szCs w:val="24"/>
        </w:rPr>
        <w:t>г. Омск</w:t>
      </w:r>
    </w:p>
    <w:p>
      <w:pPr>
        <w:pStyle w:val="0"/>
        <w:rPr>
          <w:rFonts w:cs="Arial"/>
          <w:b/>
          <w:szCs w:val="24"/>
        </w:rPr>
      </w:pPr>
      <w:r>
        <w:rPr>
          <w:rFonts w:cs="Arial"/>
          <w:b/>
          <w:szCs w:val="24"/>
        </w:rPr>
        <w:t>ПАО «ОНХП»</w:t>
      </w:r>
    </w:p>
    <w:p>
      <w:pPr>
        <w:pStyle w:val="0"/>
        <w:rPr>
          <w:rFonts w:cs="Arial"/>
          <w:b/>
          <w:szCs w:val="24"/>
        </w:rPr>
      </w:pPr>
      <w:r>
        <w:rPr>
          <w:rFonts w:cs="Arial"/>
          <w:b/>
          <w:szCs w:val="24"/>
        </w:rPr>
        <w:t>ПЗЗ-595</w:t>
      </w:r>
    </w:p>
    <w:p>
      <w:pPr>
        <w:pStyle w:val="0"/>
        <w:rPr>
          <w:rFonts w:cs="Arial"/>
          <w:b/>
          <w:szCs w:val="24"/>
        </w:rPr>
      </w:pPr>
    </w:p>
    <w:p>
      <w:pPr>
        <w:jc w:val="center"/>
        <w:rPr>
          <w:rFonts w:ascii="Times New Roman" w:hAnsi="Times New Roman" w:cs="Times New Roman"/>
          <w:b/>
        </w:rPr>
        <w:sectPr>
          <w:headerReference w:type="default" r:id="rId10"/>
          <w:footerReference w:type="even" r:id="rId11"/>
          <w:footerReference w:type="default" r:id="rId12"/>
          <w:pgSz w:w="11907" w:h="16840" w:code="9"/>
          <w:pgMar w:top="567" w:right="567" w:bottom="567" w:left="1134" w:header="720" w:footer="720" w:gutter="0"/>
          <w:pgNumType w:start="2"/>
          <w:cols w:space="720"/>
          <w:noEndnote/>
          <w:titlePg/>
        </w:sectPr>
      </w:pPr>
      <w:r>
        <w:rPr>
          <w:rFonts w:ascii="Arial" w:hAnsi="Arial" w:cs="Arial"/>
          <w:b/>
          <w:bCs/>
          <w:sz w:val="24"/>
          <w:szCs w:val="24"/>
        </w:rPr>
        <w:t>2022</w:t>
      </w:r>
    </w:p>
    <w:p>
      <w:pPr>
        <w:pStyle w:val="000"/>
        <w:ind w:firstLine="0"/>
        <w:jc w:val="center"/>
      </w:pPr>
      <w:r>
        <w:lastRenderedPageBreak/>
        <w:t>ПЕРЕЧЕНЬ ОТВЕТСТВЕННЫХ ЗА РАЗРАБОТКУ ПРОЕКТА</w:t>
      </w:r>
    </w:p>
    <w:tbl>
      <w:tblPr>
        <w:tblW w:w="6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2305"/>
        <w:gridCol w:w="2028"/>
        <w:gridCol w:w="2028"/>
      </w:tblGrid>
      <w:tr>
        <w:trPr>
          <w:trHeight w:val="566"/>
          <w:jc w:val="center"/>
        </w:trPr>
        <w:tc>
          <w:tcPr>
            <w:tcW w:w="588" w:type="dxa"/>
            <w:shd w:val="clear" w:color="auto" w:fill="FFCC00"/>
            <w:vAlign w:val="center"/>
          </w:tcPr>
          <w:p>
            <w:pPr>
              <w:jc w:val="center"/>
              <w:rPr>
                <w:rFonts w:ascii="Times New Roman" w:hAnsi="Times New Roman" w:cs="Times New Roman"/>
                <w:b/>
                <w:sz w:val="20"/>
                <w:szCs w:val="20"/>
              </w:rPr>
            </w:pPr>
            <w:r>
              <w:rPr>
                <w:rFonts w:ascii="Times New Roman" w:hAnsi="Times New Roman" w:cs="Times New Roman"/>
                <w:b/>
                <w:sz w:val="20"/>
                <w:szCs w:val="20"/>
              </w:rPr>
              <w:t xml:space="preserve">№ </w:t>
            </w:r>
          </w:p>
        </w:tc>
        <w:tc>
          <w:tcPr>
            <w:tcW w:w="2305" w:type="dxa"/>
            <w:shd w:val="clear" w:color="auto" w:fill="FFCC00"/>
            <w:vAlign w:val="center"/>
          </w:tcPr>
          <w:p>
            <w:pPr>
              <w:jc w:val="center"/>
              <w:rPr>
                <w:rFonts w:ascii="Times New Roman" w:hAnsi="Times New Roman" w:cs="Times New Roman"/>
                <w:b/>
                <w:sz w:val="20"/>
                <w:szCs w:val="20"/>
              </w:rPr>
            </w:pPr>
            <w:r>
              <w:rPr>
                <w:rFonts w:ascii="Times New Roman" w:hAnsi="Times New Roman" w:cs="Times New Roman"/>
                <w:b/>
                <w:sz w:val="20"/>
                <w:szCs w:val="20"/>
              </w:rPr>
              <w:t>Должность</w:t>
            </w:r>
          </w:p>
        </w:tc>
        <w:tc>
          <w:tcPr>
            <w:tcW w:w="2028" w:type="dxa"/>
            <w:shd w:val="clear" w:color="auto" w:fill="FFCC00"/>
            <w:vAlign w:val="center"/>
          </w:tcPr>
          <w:p>
            <w:pPr>
              <w:jc w:val="center"/>
              <w:rPr>
                <w:rFonts w:ascii="Times New Roman" w:hAnsi="Times New Roman" w:cs="Times New Roman"/>
                <w:b/>
                <w:sz w:val="20"/>
                <w:szCs w:val="20"/>
              </w:rPr>
            </w:pPr>
            <w:r>
              <w:rPr>
                <w:rFonts w:ascii="Times New Roman" w:hAnsi="Times New Roman" w:cs="Times New Roman"/>
                <w:b/>
                <w:sz w:val="20"/>
                <w:szCs w:val="20"/>
              </w:rPr>
              <w:t>Фамилия И.О.</w:t>
            </w:r>
          </w:p>
        </w:tc>
        <w:tc>
          <w:tcPr>
            <w:tcW w:w="2028" w:type="dxa"/>
            <w:shd w:val="clear" w:color="auto" w:fill="FFCC00"/>
            <w:vAlign w:val="center"/>
          </w:tcPr>
          <w:p>
            <w:pPr>
              <w:jc w:val="center"/>
              <w:rPr>
                <w:rFonts w:ascii="Times New Roman" w:hAnsi="Times New Roman" w:cs="Times New Roman"/>
                <w:b/>
                <w:sz w:val="20"/>
                <w:szCs w:val="20"/>
              </w:rPr>
            </w:pPr>
            <w:r>
              <w:rPr>
                <w:rFonts w:ascii="Times New Roman" w:hAnsi="Times New Roman" w:cs="Times New Roman"/>
                <w:b/>
                <w:sz w:val="20"/>
                <w:szCs w:val="20"/>
              </w:rPr>
              <w:t>Подпись</w:t>
            </w:r>
          </w:p>
        </w:tc>
      </w:tr>
      <w:tr>
        <w:trPr>
          <w:trHeight w:val="532"/>
          <w:jc w:val="center"/>
        </w:trPr>
        <w:tc>
          <w:tcPr>
            <w:tcW w:w="588" w:type="dxa"/>
            <w:shd w:val="clear" w:color="auto" w:fill="auto"/>
            <w:vAlign w:val="center"/>
          </w:tcPr>
          <w:p>
            <w:pPr>
              <w:jc w:val="center"/>
              <w:rPr>
                <w:rFonts w:ascii="Times New Roman" w:hAnsi="Times New Roman" w:cs="Times New Roman"/>
                <w:sz w:val="20"/>
                <w:szCs w:val="20"/>
              </w:rPr>
            </w:pPr>
            <w:r>
              <w:rPr>
                <w:rFonts w:ascii="Times New Roman" w:hAnsi="Times New Roman" w:cs="Times New Roman"/>
                <w:sz w:val="20"/>
                <w:szCs w:val="20"/>
              </w:rPr>
              <w:t>1</w:t>
            </w:r>
          </w:p>
        </w:tc>
        <w:tc>
          <w:tcPr>
            <w:tcW w:w="2305"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Ведущий архитектор проекта</w:t>
            </w:r>
          </w:p>
        </w:tc>
        <w:tc>
          <w:tcPr>
            <w:tcW w:w="2028"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Кан Т.М.</w:t>
            </w:r>
          </w:p>
        </w:tc>
        <w:tc>
          <w:tcPr>
            <w:tcW w:w="2028" w:type="dxa"/>
          </w:tcPr>
          <w:p>
            <w:pPr>
              <w:rPr>
                <w:rFonts w:ascii="Times New Roman" w:hAnsi="Times New Roman" w:cs="Times New Roman"/>
                <w:sz w:val="20"/>
                <w:szCs w:val="20"/>
              </w:rPr>
            </w:pPr>
          </w:p>
        </w:tc>
      </w:tr>
      <w:tr>
        <w:trPr>
          <w:trHeight w:val="532"/>
          <w:jc w:val="center"/>
        </w:trPr>
        <w:tc>
          <w:tcPr>
            <w:tcW w:w="588" w:type="dxa"/>
            <w:shd w:val="clear" w:color="auto" w:fill="auto"/>
            <w:vAlign w:val="center"/>
          </w:tcPr>
          <w:p>
            <w:pPr>
              <w:jc w:val="center"/>
              <w:rPr>
                <w:rFonts w:ascii="Times New Roman" w:hAnsi="Times New Roman" w:cs="Times New Roman"/>
                <w:sz w:val="20"/>
                <w:szCs w:val="20"/>
              </w:rPr>
            </w:pPr>
            <w:r>
              <w:rPr>
                <w:rFonts w:ascii="Times New Roman" w:hAnsi="Times New Roman" w:cs="Times New Roman"/>
                <w:sz w:val="20"/>
                <w:szCs w:val="20"/>
              </w:rPr>
              <w:t>2</w:t>
            </w:r>
          </w:p>
        </w:tc>
        <w:tc>
          <w:tcPr>
            <w:tcW w:w="2305"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Ведущий экономист</w:t>
            </w:r>
          </w:p>
        </w:tc>
        <w:tc>
          <w:tcPr>
            <w:tcW w:w="2028"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Иойлева Е.Н.</w:t>
            </w:r>
          </w:p>
        </w:tc>
        <w:tc>
          <w:tcPr>
            <w:tcW w:w="2028" w:type="dxa"/>
          </w:tcPr>
          <w:p>
            <w:pPr>
              <w:rPr>
                <w:rFonts w:ascii="Times New Roman" w:hAnsi="Times New Roman" w:cs="Times New Roman"/>
                <w:sz w:val="20"/>
                <w:szCs w:val="20"/>
              </w:rPr>
            </w:pPr>
          </w:p>
        </w:tc>
      </w:tr>
      <w:tr>
        <w:trPr>
          <w:trHeight w:val="532"/>
          <w:jc w:val="center"/>
        </w:trPr>
        <w:tc>
          <w:tcPr>
            <w:tcW w:w="588" w:type="dxa"/>
            <w:shd w:val="clear" w:color="auto" w:fill="auto"/>
            <w:vAlign w:val="center"/>
          </w:tcPr>
          <w:p>
            <w:pPr>
              <w:jc w:val="center"/>
              <w:rPr>
                <w:rFonts w:ascii="Times New Roman" w:hAnsi="Times New Roman" w:cs="Times New Roman"/>
                <w:sz w:val="20"/>
                <w:szCs w:val="20"/>
              </w:rPr>
            </w:pPr>
            <w:r>
              <w:rPr>
                <w:rFonts w:ascii="Times New Roman" w:hAnsi="Times New Roman" w:cs="Times New Roman"/>
                <w:sz w:val="20"/>
                <w:szCs w:val="20"/>
              </w:rPr>
              <w:t>3</w:t>
            </w:r>
          </w:p>
        </w:tc>
        <w:tc>
          <w:tcPr>
            <w:tcW w:w="2305"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 xml:space="preserve">Инженер </w:t>
            </w:r>
            <w:r>
              <w:rPr>
                <w:rFonts w:ascii="Times New Roman" w:hAnsi="Times New Roman" w:cs="Times New Roman"/>
                <w:sz w:val="20"/>
                <w:szCs w:val="20"/>
                <w:lang w:val="en-US"/>
              </w:rPr>
              <w:t xml:space="preserve">II </w:t>
            </w:r>
            <w:r>
              <w:rPr>
                <w:rFonts w:ascii="Times New Roman" w:hAnsi="Times New Roman" w:cs="Times New Roman"/>
                <w:sz w:val="20"/>
                <w:szCs w:val="20"/>
              </w:rPr>
              <w:t>категории</w:t>
            </w:r>
          </w:p>
        </w:tc>
        <w:tc>
          <w:tcPr>
            <w:tcW w:w="2028"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Дурасов М.Ю.</w:t>
            </w:r>
          </w:p>
        </w:tc>
        <w:tc>
          <w:tcPr>
            <w:tcW w:w="2028" w:type="dxa"/>
          </w:tcPr>
          <w:p>
            <w:pPr>
              <w:rPr>
                <w:rFonts w:ascii="Times New Roman" w:hAnsi="Times New Roman" w:cs="Times New Roman"/>
                <w:sz w:val="20"/>
                <w:szCs w:val="20"/>
              </w:rPr>
            </w:pPr>
          </w:p>
        </w:tc>
      </w:tr>
      <w:tr>
        <w:trPr>
          <w:trHeight w:val="532"/>
          <w:jc w:val="center"/>
        </w:trPr>
        <w:tc>
          <w:tcPr>
            <w:tcW w:w="588" w:type="dxa"/>
            <w:shd w:val="clear" w:color="auto" w:fill="auto"/>
            <w:vAlign w:val="center"/>
          </w:tcPr>
          <w:p>
            <w:pPr>
              <w:jc w:val="center"/>
              <w:rPr>
                <w:rFonts w:ascii="Times New Roman" w:hAnsi="Times New Roman" w:cs="Times New Roman"/>
                <w:sz w:val="20"/>
                <w:szCs w:val="20"/>
              </w:rPr>
            </w:pPr>
            <w:r>
              <w:rPr>
                <w:rFonts w:ascii="Times New Roman" w:hAnsi="Times New Roman" w:cs="Times New Roman"/>
                <w:sz w:val="20"/>
                <w:szCs w:val="20"/>
              </w:rPr>
              <w:t>4</w:t>
            </w:r>
          </w:p>
        </w:tc>
        <w:tc>
          <w:tcPr>
            <w:tcW w:w="2305"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Ведущий инженер</w:t>
            </w:r>
          </w:p>
        </w:tc>
        <w:tc>
          <w:tcPr>
            <w:tcW w:w="2028"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Сорокин В.Д.</w:t>
            </w:r>
          </w:p>
        </w:tc>
        <w:tc>
          <w:tcPr>
            <w:tcW w:w="2028" w:type="dxa"/>
          </w:tcPr>
          <w:p>
            <w:pPr>
              <w:rPr>
                <w:rFonts w:ascii="Times New Roman" w:hAnsi="Times New Roman" w:cs="Times New Roman"/>
                <w:sz w:val="20"/>
                <w:szCs w:val="20"/>
              </w:rPr>
            </w:pPr>
          </w:p>
        </w:tc>
      </w:tr>
      <w:tr>
        <w:trPr>
          <w:trHeight w:val="532"/>
          <w:jc w:val="center"/>
        </w:trPr>
        <w:tc>
          <w:tcPr>
            <w:tcW w:w="588" w:type="dxa"/>
            <w:shd w:val="clear" w:color="auto" w:fill="auto"/>
            <w:vAlign w:val="center"/>
          </w:tcPr>
          <w:p>
            <w:pPr>
              <w:jc w:val="center"/>
              <w:rPr>
                <w:rFonts w:ascii="Times New Roman" w:hAnsi="Times New Roman" w:cs="Times New Roman"/>
                <w:sz w:val="20"/>
                <w:szCs w:val="20"/>
              </w:rPr>
            </w:pPr>
            <w:r>
              <w:rPr>
                <w:rFonts w:ascii="Times New Roman" w:hAnsi="Times New Roman" w:cs="Times New Roman"/>
                <w:sz w:val="20"/>
                <w:szCs w:val="20"/>
              </w:rPr>
              <w:t>5</w:t>
            </w:r>
          </w:p>
        </w:tc>
        <w:tc>
          <w:tcPr>
            <w:tcW w:w="2305"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Директор НПЦРТиМП</w:t>
            </w:r>
          </w:p>
        </w:tc>
        <w:tc>
          <w:tcPr>
            <w:tcW w:w="2028" w:type="dxa"/>
            <w:shd w:val="clear" w:color="auto" w:fill="auto"/>
            <w:vAlign w:val="center"/>
          </w:tcPr>
          <w:p>
            <w:pPr>
              <w:rPr>
                <w:rFonts w:ascii="Times New Roman" w:hAnsi="Times New Roman" w:cs="Times New Roman"/>
                <w:sz w:val="20"/>
                <w:szCs w:val="20"/>
              </w:rPr>
            </w:pPr>
            <w:r>
              <w:rPr>
                <w:rFonts w:ascii="Times New Roman" w:hAnsi="Times New Roman" w:cs="Times New Roman"/>
                <w:sz w:val="20"/>
                <w:szCs w:val="20"/>
              </w:rPr>
              <w:t>Гришко А.В.</w:t>
            </w:r>
          </w:p>
        </w:tc>
        <w:tc>
          <w:tcPr>
            <w:tcW w:w="2028" w:type="dxa"/>
          </w:tcPr>
          <w:p>
            <w:pPr>
              <w:rPr>
                <w:rFonts w:ascii="Times New Roman" w:hAnsi="Times New Roman" w:cs="Times New Roman"/>
                <w:sz w:val="20"/>
                <w:szCs w:val="20"/>
              </w:rPr>
            </w:pPr>
          </w:p>
        </w:tc>
      </w:tr>
    </w:tbl>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tabs>
          <w:tab w:val="center" w:pos="5102"/>
        </w:tabs>
        <w:rPr>
          <w:rFonts w:ascii="Times New Roman" w:hAnsi="Times New Roman" w:cs="Times New Roman"/>
        </w:rPr>
        <w:sectPr>
          <w:pgSz w:w="11906" w:h="16838"/>
          <w:pgMar w:top="1134" w:right="567" w:bottom="1134" w:left="1134" w:header="708" w:footer="708" w:gutter="0"/>
          <w:pgNumType w:start="2" w:chapStyle="1"/>
          <w:cols w:space="708"/>
          <w:docGrid w:linePitch="360"/>
        </w:sectPr>
      </w:pPr>
      <w:r>
        <w:rPr>
          <w:rFonts w:ascii="Times New Roman" w:hAnsi="Times New Roman" w:cs="Times New Roman"/>
        </w:rPr>
        <w:tab/>
      </w:r>
    </w:p>
    <w:p>
      <w:pPr>
        <w:pStyle w:val="000"/>
        <w:jc w:val="center"/>
        <w:rPr>
          <w:b/>
          <w:sz w:val="32"/>
        </w:rPr>
      </w:pPr>
      <w:r>
        <w:rPr>
          <w:b/>
          <w:sz w:val="32"/>
        </w:rPr>
        <w:lastRenderedPageBreak/>
        <w:t>Содержание</w:t>
      </w:r>
    </w:p>
    <w:p>
      <w:pPr>
        <w:pStyle w:val="14"/>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99015332" w:history="1">
        <w:r>
          <w:rPr>
            <w:rStyle w:val="afa"/>
            <w:rFonts w:cs="Times New Roman"/>
            <w:noProof/>
          </w:rPr>
          <w:t>Состав проекта</w:t>
        </w:r>
        <w:r>
          <w:rPr>
            <w:noProof/>
            <w:webHidden/>
          </w:rPr>
          <w:tab/>
        </w:r>
        <w:r>
          <w:rPr>
            <w:noProof/>
            <w:webHidden/>
          </w:rPr>
          <w:fldChar w:fldCharType="begin"/>
        </w:r>
        <w:r>
          <w:rPr>
            <w:noProof/>
            <w:webHidden/>
          </w:rPr>
          <w:instrText xml:space="preserve"> PAGEREF _Toc99015332 \h </w:instrText>
        </w:r>
        <w:r>
          <w:rPr>
            <w:noProof/>
            <w:webHidden/>
          </w:rPr>
        </w:r>
        <w:r>
          <w:rPr>
            <w:noProof/>
            <w:webHidden/>
          </w:rPr>
          <w:fldChar w:fldCharType="separate"/>
        </w:r>
        <w:r>
          <w:rPr>
            <w:noProof/>
            <w:webHidden/>
          </w:rPr>
          <w:t>7</w:t>
        </w:r>
        <w:r>
          <w:rPr>
            <w:noProof/>
            <w:webHidden/>
          </w:rPr>
          <w:fldChar w:fldCharType="end"/>
        </w:r>
      </w:hyperlink>
    </w:p>
    <w:p>
      <w:pPr>
        <w:pStyle w:val="14"/>
        <w:rPr>
          <w:rFonts w:asciiTheme="minorHAnsi" w:eastAsiaTheme="minorEastAsia" w:hAnsiTheme="minorHAnsi"/>
          <w:noProof/>
          <w:sz w:val="22"/>
          <w:lang w:eastAsia="ru-RU"/>
        </w:rPr>
      </w:pPr>
      <w:hyperlink w:anchor="_Toc99015333" w:history="1">
        <w:r>
          <w:rPr>
            <w:rStyle w:val="afa"/>
            <w:rFonts w:cs="Times New Roman"/>
            <w:noProof/>
          </w:rPr>
          <w:t>ЧАСТЬ I. ПОРЯДОК ПРИМЕНЕНИЯ ПРАВИЛ ЗЕМЛЕПОЛЬЗОВАНИЯ И ЗАСТРОЙКИ И ВНЕСЕНИЯ В НИХ ИЗМЕНЕНИЙ</w:t>
        </w:r>
        <w:r>
          <w:rPr>
            <w:noProof/>
            <w:webHidden/>
          </w:rPr>
          <w:tab/>
        </w:r>
        <w:r>
          <w:rPr>
            <w:noProof/>
            <w:webHidden/>
          </w:rPr>
          <w:fldChar w:fldCharType="begin"/>
        </w:r>
        <w:r>
          <w:rPr>
            <w:noProof/>
            <w:webHidden/>
          </w:rPr>
          <w:instrText xml:space="preserve"> PAGEREF _Toc99015333 \h </w:instrText>
        </w:r>
        <w:r>
          <w:rPr>
            <w:noProof/>
            <w:webHidden/>
          </w:rPr>
        </w:r>
        <w:r>
          <w:rPr>
            <w:noProof/>
            <w:webHidden/>
          </w:rPr>
          <w:fldChar w:fldCharType="separate"/>
        </w:r>
        <w:r>
          <w:rPr>
            <w:noProof/>
            <w:webHidden/>
          </w:rPr>
          <w:t>8</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34" w:history="1">
        <w:r>
          <w:rPr>
            <w:rStyle w:val="afa"/>
            <w:noProof/>
          </w:rPr>
          <w:t>ГЛАВА 1. Регулирование землепользования и застройки органами местного самоуправления</w:t>
        </w:r>
        <w:r>
          <w:rPr>
            <w:noProof/>
            <w:webHidden/>
          </w:rPr>
          <w:tab/>
        </w:r>
        <w:r>
          <w:rPr>
            <w:noProof/>
            <w:webHidden/>
          </w:rPr>
          <w:fldChar w:fldCharType="begin"/>
        </w:r>
        <w:r>
          <w:rPr>
            <w:noProof/>
            <w:webHidden/>
          </w:rPr>
          <w:instrText xml:space="preserve"> PAGEREF _Toc99015334 \h </w:instrText>
        </w:r>
        <w:r>
          <w:rPr>
            <w:noProof/>
            <w:webHidden/>
          </w:rPr>
        </w:r>
        <w:r>
          <w:rPr>
            <w:noProof/>
            <w:webHidden/>
          </w:rPr>
          <w:fldChar w:fldCharType="separate"/>
        </w:r>
        <w:r>
          <w:rPr>
            <w:noProof/>
            <w:webHidden/>
          </w:rPr>
          <w:t>8</w:t>
        </w:r>
        <w:r>
          <w:rPr>
            <w:noProof/>
            <w:webHidden/>
          </w:rPr>
          <w:fldChar w:fldCharType="end"/>
        </w:r>
      </w:hyperlink>
    </w:p>
    <w:p>
      <w:pPr>
        <w:pStyle w:val="31"/>
        <w:rPr>
          <w:rFonts w:asciiTheme="minorHAnsi" w:eastAsiaTheme="minorEastAsia" w:hAnsiTheme="minorHAnsi"/>
          <w:noProof/>
          <w:sz w:val="22"/>
          <w:lang w:eastAsia="ru-RU"/>
        </w:rPr>
      </w:pPr>
      <w:hyperlink w:anchor="_Toc99015335" w:history="1">
        <w:r>
          <w:rPr>
            <w:rStyle w:val="afa"/>
            <w:noProof/>
          </w:rPr>
          <w:t>Статья 1. Правовой статус Правил землепользования и застройки городского округа Анадырь</w:t>
        </w:r>
        <w:r>
          <w:rPr>
            <w:noProof/>
            <w:webHidden/>
          </w:rPr>
          <w:tab/>
        </w:r>
        <w:r>
          <w:rPr>
            <w:noProof/>
            <w:webHidden/>
          </w:rPr>
          <w:fldChar w:fldCharType="begin"/>
        </w:r>
        <w:r>
          <w:rPr>
            <w:noProof/>
            <w:webHidden/>
          </w:rPr>
          <w:instrText xml:space="preserve"> PAGEREF _Toc99015335 \h </w:instrText>
        </w:r>
        <w:r>
          <w:rPr>
            <w:noProof/>
            <w:webHidden/>
          </w:rPr>
        </w:r>
        <w:r>
          <w:rPr>
            <w:noProof/>
            <w:webHidden/>
          </w:rPr>
          <w:fldChar w:fldCharType="separate"/>
        </w:r>
        <w:r>
          <w:rPr>
            <w:noProof/>
            <w:webHidden/>
          </w:rPr>
          <w:t>8</w:t>
        </w:r>
        <w:r>
          <w:rPr>
            <w:noProof/>
            <w:webHidden/>
          </w:rPr>
          <w:fldChar w:fldCharType="end"/>
        </w:r>
      </w:hyperlink>
    </w:p>
    <w:p>
      <w:pPr>
        <w:pStyle w:val="31"/>
        <w:rPr>
          <w:rFonts w:asciiTheme="minorHAnsi" w:eastAsiaTheme="minorEastAsia" w:hAnsiTheme="minorHAnsi"/>
          <w:noProof/>
          <w:sz w:val="22"/>
          <w:lang w:eastAsia="ru-RU"/>
        </w:rPr>
      </w:pPr>
      <w:hyperlink w:anchor="_Toc99015336" w:history="1">
        <w:r>
          <w:rPr>
            <w:rStyle w:val="afa"/>
            <w:noProof/>
          </w:rPr>
          <w:t>Статья 2. Цели, назначение и область применения Правил застройки</w:t>
        </w:r>
        <w:r>
          <w:rPr>
            <w:noProof/>
            <w:webHidden/>
          </w:rPr>
          <w:tab/>
        </w:r>
        <w:r>
          <w:rPr>
            <w:noProof/>
            <w:webHidden/>
          </w:rPr>
          <w:fldChar w:fldCharType="begin"/>
        </w:r>
        <w:r>
          <w:rPr>
            <w:noProof/>
            <w:webHidden/>
          </w:rPr>
          <w:instrText xml:space="preserve"> PAGEREF _Toc99015336 \h </w:instrText>
        </w:r>
        <w:r>
          <w:rPr>
            <w:noProof/>
            <w:webHidden/>
          </w:rPr>
        </w:r>
        <w:r>
          <w:rPr>
            <w:noProof/>
            <w:webHidden/>
          </w:rPr>
          <w:fldChar w:fldCharType="separate"/>
        </w:r>
        <w:r>
          <w:rPr>
            <w:noProof/>
            <w:webHidden/>
          </w:rPr>
          <w:t>8</w:t>
        </w:r>
        <w:r>
          <w:rPr>
            <w:noProof/>
            <w:webHidden/>
          </w:rPr>
          <w:fldChar w:fldCharType="end"/>
        </w:r>
      </w:hyperlink>
    </w:p>
    <w:p>
      <w:pPr>
        <w:pStyle w:val="31"/>
        <w:rPr>
          <w:rFonts w:asciiTheme="minorHAnsi" w:eastAsiaTheme="minorEastAsia" w:hAnsiTheme="minorHAnsi"/>
          <w:noProof/>
          <w:sz w:val="22"/>
          <w:lang w:eastAsia="ru-RU"/>
        </w:rPr>
      </w:pPr>
      <w:hyperlink w:anchor="_Toc99015337" w:history="1">
        <w:r>
          <w:rPr>
            <w:rStyle w:val="afa"/>
            <w:noProof/>
          </w:rPr>
          <w:t>Статья 3. Соотношение Правил застройки с Генеральным планом городского округа Анадырь и документацией по планировке территории</w:t>
        </w:r>
        <w:r>
          <w:rPr>
            <w:noProof/>
            <w:webHidden/>
          </w:rPr>
          <w:tab/>
        </w:r>
        <w:r>
          <w:rPr>
            <w:noProof/>
            <w:webHidden/>
          </w:rPr>
          <w:fldChar w:fldCharType="begin"/>
        </w:r>
        <w:r>
          <w:rPr>
            <w:noProof/>
            <w:webHidden/>
          </w:rPr>
          <w:instrText xml:space="preserve"> PAGEREF _Toc99015337 \h </w:instrText>
        </w:r>
        <w:r>
          <w:rPr>
            <w:noProof/>
            <w:webHidden/>
          </w:rPr>
        </w:r>
        <w:r>
          <w:rPr>
            <w:noProof/>
            <w:webHidden/>
          </w:rPr>
          <w:fldChar w:fldCharType="separate"/>
        </w:r>
        <w:r>
          <w:rPr>
            <w:noProof/>
            <w:webHidden/>
          </w:rPr>
          <w:t>9</w:t>
        </w:r>
        <w:r>
          <w:rPr>
            <w:noProof/>
            <w:webHidden/>
          </w:rPr>
          <w:fldChar w:fldCharType="end"/>
        </w:r>
      </w:hyperlink>
    </w:p>
    <w:p>
      <w:pPr>
        <w:pStyle w:val="31"/>
        <w:rPr>
          <w:rFonts w:asciiTheme="minorHAnsi" w:eastAsiaTheme="minorEastAsia" w:hAnsiTheme="minorHAnsi"/>
          <w:noProof/>
          <w:sz w:val="22"/>
          <w:lang w:eastAsia="ru-RU"/>
        </w:rPr>
      </w:pPr>
      <w:hyperlink w:anchor="_Toc99015338" w:history="1">
        <w:r>
          <w:rPr>
            <w:rStyle w:val="afa"/>
            <w:rFonts w:cs="Times New Roman"/>
            <w:noProof/>
            <w:kern w:val="1"/>
          </w:rPr>
          <w:t>Статья 4. Общедоступность информации о землепользовании и застройке</w:t>
        </w:r>
        <w:r>
          <w:rPr>
            <w:noProof/>
            <w:webHidden/>
          </w:rPr>
          <w:tab/>
        </w:r>
        <w:r>
          <w:rPr>
            <w:noProof/>
            <w:webHidden/>
          </w:rPr>
          <w:fldChar w:fldCharType="begin"/>
        </w:r>
        <w:r>
          <w:rPr>
            <w:noProof/>
            <w:webHidden/>
          </w:rPr>
          <w:instrText xml:space="preserve"> PAGEREF _Toc99015338 \h </w:instrText>
        </w:r>
        <w:r>
          <w:rPr>
            <w:noProof/>
            <w:webHidden/>
          </w:rPr>
        </w:r>
        <w:r>
          <w:rPr>
            <w:noProof/>
            <w:webHidden/>
          </w:rPr>
          <w:fldChar w:fldCharType="separate"/>
        </w:r>
        <w:r>
          <w:rPr>
            <w:noProof/>
            <w:webHidden/>
          </w:rPr>
          <w:t>9</w:t>
        </w:r>
        <w:r>
          <w:rPr>
            <w:noProof/>
            <w:webHidden/>
          </w:rPr>
          <w:fldChar w:fldCharType="end"/>
        </w:r>
      </w:hyperlink>
    </w:p>
    <w:p>
      <w:pPr>
        <w:pStyle w:val="31"/>
        <w:rPr>
          <w:rFonts w:asciiTheme="minorHAnsi" w:eastAsiaTheme="minorEastAsia" w:hAnsiTheme="minorHAnsi"/>
          <w:noProof/>
          <w:sz w:val="22"/>
          <w:lang w:eastAsia="ru-RU"/>
        </w:rPr>
      </w:pPr>
      <w:hyperlink w:anchor="_Toc99015339" w:history="1">
        <w:r>
          <w:rPr>
            <w:rStyle w:val="afa"/>
            <w:noProof/>
          </w:rPr>
          <w:t>Статья 5. Полномочия органов местного самоуправления и должностных лиц городского округа Анадырь в области землепользования и застройки</w:t>
        </w:r>
        <w:r>
          <w:rPr>
            <w:noProof/>
            <w:webHidden/>
          </w:rPr>
          <w:tab/>
        </w:r>
        <w:r>
          <w:rPr>
            <w:noProof/>
            <w:webHidden/>
          </w:rPr>
          <w:fldChar w:fldCharType="begin"/>
        </w:r>
        <w:r>
          <w:rPr>
            <w:noProof/>
            <w:webHidden/>
          </w:rPr>
          <w:instrText xml:space="preserve"> PAGEREF _Toc99015339 \h </w:instrText>
        </w:r>
        <w:r>
          <w:rPr>
            <w:noProof/>
            <w:webHidden/>
          </w:rPr>
        </w:r>
        <w:r>
          <w:rPr>
            <w:noProof/>
            <w:webHidden/>
          </w:rPr>
          <w:fldChar w:fldCharType="separate"/>
        </w:r>
        <w:r>
          <w:rPr>
            <w:noProof/>
            <w:webHidden/>
          </w:rPr>
          <w:t>9</w:t>
        </w:r>
        <w:r>
          <w:rPr>
            <w:noProof/>
            <w:webHidden/>
          </w:rPr>
          <w:fldChar w:fldCharType="end"/>
        </w:r>
      </w:hyperlink>
    </w:p>
    <w:p>
      <w:pPr>
        <w:pStyle w:val="31"/>
        <w:rPr>
          <w:rFonts w:asciiTheme="minorHAnsi" w:eastAsiaTheme="minorEastAsia" w:hAnsiTheme="minorHAnsi"/>
          <w:noProof/>
          <w:sz w:val="22"/>
          <w:lang w:eastAsia="ru-RU"/>
        </w:rPr>
      </w:pPr>
      <w:hyperlink w:anchor="_Toc99015340" w:history="1">
        <w:r>
          <w:rPr>
            <w:rStyle w:val="afa"/>
            <w:noProof/>
          </w:rPr>
          <w:t>Статья 6. Комиссия по подготовке проекта Правил застройки</w:t>
        </w:r>
        <w:r>
          <w:rPr>
            <w:noProof/>
            <w:webHidden/>
          </w:rPr>
          <w:tab/>
        </w:r>
        <w:r>
          <w:rPr>
            <w:noProof/>
            <w:webHidden/>
          </w:rPr>
          <w:fldChar w:fldCharType="begin"/>
        </w:r>
        <w:r>
          <w:rPr>
            <w:noProof/>
            <w:webHidden/>
          </w:rPr>
          <w:instrText xml:space="preserve"> PAGEREF _Toc99015340 \h </w:instrText>
        </w:r>
        <w:r>
          <w:rPr>
            <w:noProof/>
            <w:webHidden/>
          </w:rPr>
        </w:r>
        <w:r>
          <w:rPr>
            <w:noProof/>
            <w:webHidden/>
          </w:rPr>
          <w:fldChar w:fldCharType="separate"/>
        </w:r>
        <w:r>
          <w:rPr>
            <w:noProof/>
            <w:webHidden/>
          </w:rPr>
          <w:t>10</w:t>
        </w:r>
        <w:r>
          <w:rPr>
            <w:noProof/>
            <w:webHidden/>
          </w:rPr>
          <w:fldChar w:fldCharType="end"/>
        </w:r>
      </w:hyperlink>
    </w:p>
    <w:p>
      <w:pPr>
        <w:pStyle w:val="31"/>
        <w:rPr>
          <w:rFonts w:asciiTheme="minorHAnsi" w:eastAsiaTheme="minorEastAsia" w:hAnsiTheme="minorHAnsi"/>
          <w:noProof/>
          <w:sz w:val="22"/>
          <w:lang w:eastAsia="ru-RU"/>
        </w:rPr>
      </w:pPr>
      <w:hyperlink w:anchor="_Toc99015341" w:history="1">
        <w:r>
          <w:rPr>
            <w:rStyle w:val="afa"/>
            <w:noProof/>
          </w:rPr>
          <w:t>Статья 7. Образование земельных участков из земель или земельных участков, находящихся в государственной или муниципальной собственности</w:t>
        </w:r>
        <w:r>
          <w:rPr>
            <w:noProof/>
            <w:webHidden/>
          </w:rPr>
          <w:tab/>
        </w:r>
        <w:r>
          <w:rPr>
            <w:noProof/>
            <w:webHidden/>
          </w:rPr>
          <w:fldChar w:fldCharType="begin"/>
        </w:r>
        <w:r>
          <w:rPr>
            <w:noProof/>
            <w:webHidden/>
          </w:rPr>
          <w:instrText xml:space="preserve"> PAGEREF _Toc99015341 \h </w:instrText>
        </w:r>
        <w:r>
          <w:rPr>
            <w:noProof/>
            <w:webHidden/>
          </w:rPr>
        </w:r>
        <w:r>
          <w:rPr>
            <w:noProof/>
            <w:webHidden/>
          </w:rPr>
          <w:fldChar w:fldCharType="separate"/>
        </w:r>
        <w:r>
          <w:rPr>
            <w:noProof/>
            <w:webHidden/>
          </w:rPr>
          <w:t>10</w:t>
        </w:r>
        <w:r>
          <w:rPr>
            <w:noProof/>
            <w:webHidden/>
          </w:rPr>
          <w:fldChar w:fldCharType="end"/>
        </w:r>
      </w:hyperlink>
    </w:p>
    <w:p>
      <w:pPr>
        <w:pStyle w:val="31"/>
        <w:rPr>
          <w:rFonts w:asciiTheme="minorHAnsi" w:eastAsiaTheme="minorEastAsia" w:hAnsiTheme="minorHAnsi"/>
          <w:noProof/>
          <w:sz w:val="22"/>
          <w:lang w:eastAsia="ru-RU"/>
        </w:rPr>
      </w:pPr>
      <w:hyperlink w:anchor="_Toc99015342" w:history="1">
        <w:r>
          <w:rPr>
            <w:rStyle w:val="afa"/>
            <w:noProof/>
          </w:rPr>
          <w:t>Статья 8. 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w:t>
        </w:r>
        <w:r>
          <w:rPr>
            <w:noProof/>
            <w:webHidden/>
          </w:rPr>
          <w:tab/>
        </w:r>
        <w:r>
          <w:rPr>
            <w:noProof/>
            <w:webHidden/>
          </w:rPr>
          <w:fldChar w:fldCharType="begin"/>
        </w:r>
        <w:r>
          <w:rPr>
            <w:noProof/>
            <w:webHidden/>
          </w:rPr>
          <w:instrText xml:space="preserve"> PAGEREF _Toc99015342 \h </w:instrText>
        </w:r>
        <w:r>
          <w:rPr>
            <w:noProof/>
            <w:webHidden/>
          </w:rPr>
        </w:r>
        <w:r>
          <w:rPr>
            <w:noProof/>
            <w:webHidden/>
          </w:rPr>
          <w:fldChar w:fldCharType="separate"/>
        </w:r>
        <w:r>
          <w:rPr>
            <w:noProof/>
            <w:webHidden/>
          </w:rPr>
          <w:t>11</w:t>
        </w:r>
        <w:r>
          <w:rPr>
            <w:noProof/>
            <w:webHidden/>
          </w:rPr>
          <w:fldChar w:fldCharType="end"/>
        </w:r>
      </w:hyperlink>
    </w:p>
    <w:p>
      <w:pPr>
        <w:pStyle w:val="31"/>
        <w:rPr>
          <w:rFonts w:asciiTheme="minorHAnsi" w:eastAsiaTheme="minorEastAsia" w:hAnsiTheme="minorHAnsi"/>
          <w:noProof/>
          <w:sz w:val="22"/>
          <w:lang w:eastAsia="ru-RU"/>
        </w:rPr>
      </w:pPr>
      <w:hyperlink w:anchor="_Toc99015343" w:history="1">
        <w:r>
          <w:rPr>
            <w:rStyle w:val="afa"/>
            <w:noProof/>
          </w:rPr>
          <w:t>Статья 9. Обмен земельного участка, находящегося в муниципальной собственности, на земельный участок, находящийся в частной собственности</w:t>
        </w:r>
        <w:r>
          <w:rPr>
            <w:noProof/>
            <w:webHidden/>
          </w:rPr>
          <w:tab/>
        </w:r>
        <w:r>
          <w:rPr>
            <w:noProof/>
            <w:webHidden/>
          </w:rPr>
          <w:fldChar w:fldCharType="begin"/>
        </w:r>
        <w:r>
          <w:rPr>
            <w:noProof/>
            <w:webHidden/>
          </w:rPr>
          <w:instrText xml:space="preserve"> PAGEREF _Toc99015343 \h </w:instrText>
        </w:r>
        <w:r>
          <w:rPr>
            <w:noProof/>
            <w:webHidden/>
          </w:rPr>
        </w:r>
        <w:r>
          <w:rPr>
            <w:noProof/>
            <w:webHidden/>
          </w:rPr>
          <w:fldChar w:fldCharType="separate"/>
        </w:r>
        <w:r>
          <w:rPr>
            <w:noProof/>
            <w:webHidden/>
          </w:rPr>
          <w:t>11</w:t>
        </w:r>
        <w:r>
          <w:rPr>
            <w:noProof/>
            <w:webHidden/>
          </w:rPr>
          <w:fldChar w:fldCharType="end"/>
        </w:r>
      </w:hyperlink>
    </w:p>
    <w:p>
      <w:pPr>
        <w:pStyle w:val="31"/>
        <w:rPr>
          <w:rFonts w:asciiTheme="minorHAnsi" w:eastAsiaTheme="minorEastAsia" w:hAnsiTheme="minorHAnsi"/>
          <w:noProof/>
          <w:sz w:val="22"/>
          <w:lang w:eastAsia="ru-RU"/>
        </w:rPr>
      </w:pPr>
      <w:hyperlink w:anchor="_Toc99015344" w:history="1">
        <w:r>
          <w:rPr>
            <w:rStyle w:val="afa"/>
            <w:noProof/>
          </w:rPr>
          <w:t>Статья 10. Изъятие земельных участков и резервирование земель для муниципальных нужд</w:t>
        </w:r>
        <w:r>
          <w:rPr>
            <w:noProof/>
            <w:webHidden/>
          </w:rPr>
          <w:tab/>
        </w:r>
        <w:r>
          <w:rPr>
            <w:noProof/>
            <w:webHidden/>
          </w:rPr>
          <w:fldChar w:fldCharType="begin"/>
        </w:r>
        <w:r>
          <w:rPr>
            <w:noProof/>
            <w:webHidden/>
          </w:rPr>
          <w:instrText xml:space="preserve"> PAGEREF _Toc99015344 \h </w:instrText>
        </w:r>
        <w:r>
          <w:rPr>
            <w:noProof/>
            <w:webHidden/>
          </w:rPr>
        </w:r>
        <w:r>
          <w:rPr>
            <w:noProof/>
            <w:webHidden/>
          </w:rPr>
          <w:fldChar w:fldCharType="separate"/>
        </w:r>
        <w:r>
          <w:rPr>
            <w:noProof/>
            <w:webHidden/>
          </w:rPr>
          <w:t>12</w:t>
        </w:r>
        <w:r>
          <w:rPr>
            <w:noProof/>
            <w:webHidden/>
          </w:rPr>
          <w:fldChar w:fldCharType="end"/>
        </w:r>
      </w:hyperlink>
    </w:p>
    <w:p>
      <w:pPr>
        <w:pStyle w:val="31"/>
        <w:rPr>
          <w:rFonts w:asciiTheme="minorHAnsi" w:eastAsiaTheme="minorEastAsia" w:hAnsiTheme="minorHAnsi"/>
          <w:noProof/>
          <w:sz w:val="22"/>
          <w:lang w:eastAsia="ru-RU"/>
        </w:rPr>
      </w:pPr>
      <w:hyperlink w:anchor="_Toc99015345" w:history="1">
        <w:r>
          <w:rPr>
            <w:rStyle w:val="afa"/>
            <w:noProof/>
          </w:rPr>
          <w:t>Статья 11. Государственный земельный надзор, муниципальный земельный контроль, общественный земельный контроль</w:t>
        </w:r>
        <w:r>
          <w:rPr>
            <w:noProof/>
            <w:webHidden/>
          </w:rPr>
          <w:tab/>
        </w:r>
        <w:r>
          <w:rPr>
            <w:noProof/>
            <w:webHidden/>
          </w:rPr>
          <w:fldChar w:fldCharType="begin"/>
        </w:r>
        <w:r>
          <w:rPr>
            <w:noProof/>
            <w:webHidden/>
          </w:rPr>
          <w:instrText xml:space="preserve"> PAGEREF _Toc99015345 \h </w:instrText>
        </w:r>
        <w:r>
          <w:rPr>
            <w:noProof/>
            <w:webHidden/>
          </w:rPr>
        </w:r>
        <w:r>
          <w:rPr>
            <w:noProof/>
            <w:webHidden/>
          </w:rPr>
          <w:fldChar w:fldCharType="separate"/>
        </w:r>
        <w:r>
          <w:rPr>
            <w:noProof/>
            <w:webHidden/>
          </w:rPr>
          <w:t>12</w:t>
        </w:r>
        <w:r>
          <w:rPr>
            <w:noProof/>
            <w:webHidden/>
          </w:rPr>
          <w:fldChar w:fldCharType="end"/>
        </w:r>
      </w:hyperlink>
    </w:p>
    <w:p>
      <w:pPr>
        <w:pStyle w:val="31"/>
        <w:rPr>
          <w:rFonts w:asciiTheme="minorHAnsi" w:eastAsiaTheme="minorEastAsia" w:hAnsiTheme="minorHAnsi"/>
          <w:noProof/>
          <w:sz w:val="22"/>
          <w:lang w:eastAsia="ru-RU"/>
        </w:rPr>
      </w:pPr>
      <w:hyperlink w:anchor="_Toc99015346" w:history="1">
        <w:r>
          <w:rPr>
            <w:rStyle w:val="afa"/>
            <w:noProof/>
          </w:rPr>
          <w:t>Статья 12. Деятельность по комплексному и устойчивому развитию территории</w:t>
        </w:r>
        <w:r>
          <w:rPr>
            <w:noProof/>
            <w:webHidden/>
          </w:rPr>
          <w:tab/>
        </w:r>
        <w:r>
          <w:rPr>
            <w:noProof/>
            <w:webHidden/>
          </w:rPr>
          <w:fldChar w:fldCharType="begin"/>
        </w:r>
        <w:r>
          <w:rPr>
            <w:noProof/>
            <w:webHidden/>
          </w:rPr>
          <w:instrText xml:space="preserve"> PAGEREF _Toc99015346 \h </w:instrText>
        </w:r>
        <w:r>
          <w:rPr>
            <w:noProof/>
            <w:webHidden/>
          </w:rPr>
        </w:r>
        <w:r>
          <w:rPr>
            <w:noProof/>
            <w:webHidden/>
          </w:rPr>
          <w:fldChar w:fldCharType="separate"/>
        </w:r>
        <w:r>
          <w:rPr>
            <w:noProof/>
            <w:webHidden/>
          </w:rPr>
          <w:t>12</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47" w:history="1">
        <w:r>
          <w:rPr>
            <w:rStyle w:val="afa"/>
            <w:noProof/>
          </w:rPr>
          <w:t>ГЛАВА 2. Изменение видов разрешённого использования земельных участков и объектов капитального строительства физическим и юридическими лицами</w:t>
        </w:r>
        <w:r>
          <w:rPr>
            <w:noProof/>
            <w:webHidden/>
          </w:rPr>
          <w:tab/>
        </w:r>
        <w:r>
          <w:rPr>
            <w:noProof/>
            <w:webHidden/>
          </w:rPr>
          <w:fldChar w:fldCharType="begin"/>
        </w:r>
        <w:r>
          <w:rPr>
            <w:noProof/>
            <w:webHidden/>
          </w:rPr>
          <w:instrText xml:space="preserve"> PAGEREF _Toc99015347 \h </w:instrText>
        </w:r>
        <w:r>
          <w:rPr>
            <w:noProof/>
            <w:webHidden/>
          </w:rPr>
        </w:r>
        <w:r>
          <w:rPr>
            <w:noProof/>
            <w:webHidden/>
          </w:rPr>
          <w:fldChar w:fldCharType="separate"/>
        </w:r>
        <w:r>
          <w:rPr>
            <w:noProof/>
            <w:webHidden/>
          </w:rPr>
          <w:t>12</w:t>
        </w:r>
        <w:r>
          <w:rPr>
            <w:noProof/>
            <w:webHidden/>
          </w:rPr>
          <w:fldChar w:fldCharType="end"/>
        </w:r>
      </w:hyperlink>
    </w:p>
    <w:p>
      <w:pPr>
        <w:pStyle w:val="31"/>
        <w:rPr>
          <w:rFonts w:asciiTheme="minorHAnsi" w:eastAsiaTheme="minorEastAsia" w:hAnsiTheme="minorHAnsi"/>
          <w:noProof/>
          <w:sz w:val="22"/>
          <w:lang w:eastAsia="ru-RU"/>
        </w:rPr>
      </w:pPr>
      <w:hyperlink w:anchor="_Toc99015348" w:history="1">
        <w:r>
          <w:rPr>
            <w:rStyle w:val="afa"/>
            <w:noProof/>
          </w:rPr>
          <w:t>Статья 13. Виды разрешённого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_Toc99015348 \h </w:instrText>
        </w:r>
        <w:r>
          <w:rPr>
            <w:noProof/>
            <w:webHidden/>
          </w:rPr>
        </w:r>
        <w:r>
          <w:rPr>
            <w:noProof/>
            <w:webHidden/>
          </w:rPr>
          <w:fldChar w:fldCharType="separate"/>
        </w:r>
        <w:r>
          <w:rPr>
            <w:noProof/>
            <w:webHidden/>
          </w:rPr>
          <w:t>12</w:t>
        </w:r>
        <w:r>
          <w:rPr>
            <w:noProof/>
            <w:webHidden/>
          </w:rPr>
          <w:fldChar w:fldCharType="end"/>
        </w:r>
      </w:hyperlink>
    </w:p>
    <w:p>
      <w:pPr>
        <w:pStyle w:val="31"/>
        <w:rPr>
          <w:rFonts w:asciiTheme="minorHAnsi" w:eastAsiaTheme="minorEastAsia" w:hAnsiTheme="minorHAnsi"/>
          <w:noProof/>
          <w:sz w:val="22"/>
          <w:lang w:eastAsia="ru-RU"/>
        </w:rPr>
      </w:pPr>
      <w:hyperlink w:anchor="_Toc99015349" w:history="1">
        <w:r>
          <w:rPr>
            <w:rStyle w:val="afa"/>
            <w:noProof/>
          </w:rPr>
          <w:t>Статья 14.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r>
          <w:rPr>
            <w:noProof/>
            <w:webHidden/>
          </w:rPr>
          <w:tab/>
        </w:r>
        <w:r>
          <w:rPr>
            <w:noProof/>
            <w:webHidden/>
          </w:rPr>
          <w:fldChar w:fldCharType="begin"/>
        </w:r>
        <w:r>
          <w:rPr>
            <w:noProof/>
            <w:webHidden/>
          </w:rPr>
          <w:instrText xml:space="preserve"> PAGEREF _Toc99015349 \h </w:instrText>
        </w:r>
        <w:r>
          <w:rPr>
            <w:noProof/>
            <w:webHidden/>
          </w:rPr>
        </w:r>
        <w:r>
          <w:rPr>
            <w:noProof/>
            <w:webHidden/>
          </w:rPr>
          <w:fldChar w:fldCharType="separate"/>
        </w:r>
        <w:r>
          <w:rPr>
            <w:noProof/>
            <w:webHidden/>
          </w:rPr>
          <w:t>14</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50" w:history="1">
        <w:r>
          <w:rPr>
            <w:rStyle w:val="afa"/>
            <w:noProof/>
          </w:rPr>
          <w:t>ГЛАВА 3. Подготовка документации по планировке территории органами местного самоуправления</w:t>
        </w:r>
        <w:r>
          <w:rPr>
            <w:noProof/>
            <w:webHidden/>
          </w:rPr>
          <w:tab/>
        </w:r>
        <w:r>
          <w:rPr>
            <w:noProof/>
            <w:webHidden/>
          </w:rPr>
          <w:fldChar w:fldCharType="begin"/>
        </w:r>
        <w:r>
          <w:rPr>
            <w:noProof/>
            <w:webHidden/>
          </w:rPr>
          <w:instrText xml:space="preserve"> PAGEREF _Toc99015350 \h </w:instrText>
        </w:r>
        <w:r>
          <w:rPr>
            <w:noProof/>
            <w:webHidden/>
          </w:rPr>
        </w:r>
        <w:r>
          <w:rPr>
            <w:noProof/>
            <w:webHidden/>
          </w:rPr>
          <w:fldChar w:fldCharType="separate"/>
        </w:r>
        <w:r>
          <w:rPr>
            <w:noProof/>
            <w:webHidden/>
          </w:rPr>
          <w:t>15</w:t>
        </w:r>
        <w:r>
          <w:rPr>
            <w:noProof/>
            <w:webHidden/>
          </w:rPr>
          <w:fldChar w:fldCharType="end"/>
        </w:r>
      </w:hyperlink>
    </w:p>
    <w:p>
      <w:pPr>
        <w:pStyle w:val="31"/>
        <w:rPr>
          <w:rFonts w:asciiTheme="minorHAnsi" w:eastAsiaTheme="minorEastAsia" w:hAnsiTheme="minorHAnsi"/>
          <w:noProof/>
          <w:sz w:val="22"/>
          <w:lang w:eastAsia="ru-RU"/>
        </w:rPr>
      </w:pPr>
      <w:hyperlink w:anchor="_Toc99015351" w:history="1">
        <w:r>
          <w:rPr>
            <w:rStyle w:val="afa"/>
            <w:noProof/>
          </w:rPr>
          <w:t>Статья 15. Виды документации по планировке территории</w:t>
        </w:r>
        <w:r>
          <w:rPr>
            <w:noProof/>
            <w:webHidden/>
          </w:rPr>
          <w:tab/>
        </w:r>
        <w:r>
          <w:rPr>
            <w:noProof/>
            <w:webHidden/>
          </w:rPr>
          <w:fldChar w:fldCharType="begin"/>
        </w:r>
        <w:r>
          <w:rPr>
            <w:noProof/>
            <w:webHidden/>
          </w:rPr>
          <w:instrText xml:space="preserve"> PAGEREF _Toc99015351 \h </w:instrText>
        </w:r>
        <w:r>
          <w:rPr>
            <w:noProof/>
            <w:webHidden/>
          </w:rPr>
        </w:r>
        <w:r>
          <w:rPr>
            <w:noProof/>
            <w:webHidden/>
          </w:rPr>
          <w:fldChar w:fldCharType="separate"/>
        </w:r>
        <w:r>
          <w:rPr>
            <w:noProof/>
            <w:webHidden/>
          </w:rPr>
          <w:t>15</w:t>
        </w:r>
        <w:r>
          <w:rPr>
            <w:noProof/>
            <w:webHidden/>
          </w:rPr>
          <w:fldChar w:fldCharType="end"/>
        </w:r>
      </w:hyperlink>
    </w:p>
    <w:p>
      <w:pPr>
        <w:pStyle w:val="31"/>
        <w:rPr>
          <w:rFonts w:asciiTheme="minorHAnsi" w:eastAsiaTheme="minorEastAsia" w:hAnsiTheme="minorHAnsi"/>
          <w:noProof/>
          <w:sz w:val="22"/>
          <w:lang w:eastAsia="ru-RU"/>
        </w:rPr>
      </w:pPr>
      <w:hyperlink w:anchor="_Toc99015352" w:history="1">
        <w:r>
          <w:rPr>
            <w:rStyle w:val="afa"/>
            <w:noProof/>
          </w:rPr>
          <w:t>Статья 16. Состав и содержание проекта планировки территории и проекта межевания территории</w:t>
        </w:r>
        <w:r>
          <w:rPr>
            <w:noProof/>
            <w:webHidden/>
          </w:rPr>
          <w:tab/>
        </w:r>
        <w:r>
          <w:rPr>
            <w:noProof/>
            <w:webHidden/>
          </w:rPr>
          <w:fldChar w:fldCharType="begin"/>
        </w:r>
        <w:r>
          <w:rPr>
            <w:noProof/>
            <w:webHidden/>
          </w:rPr>
          <w:instrText xml:space="preserve"> PAGEREF _Toc99015352 \h </w:instrText>
        </w:r>
        <w:r>
          <w:rPr>
            <w:noProof/>
            <w:webHidden/>
          </w:rPr>
        </w:r>
        <w:r>
          <w:rPr>
            <w:noProof/>
            <w:webHidden/>
          </w:rPr>
          <w:fldChar w:fldCharType="separate"/>
        </w:r>
        <w:r>
          <w:rPr>
            <w:noProof/>
            <w:webHidden/>
          </w:rPr>
          <w:t>15</w:t>
        </w:r>
        <w:r>
          <w:rPr>
            <w:noProof/>
            <w:webHidden/>
          </w:rPr>
          <w:fldChar w:fldCharType="end"/>
        </w:r>
      </w:hyperlink>
    </w:p>
    <w:p>
      <w:pPr>
        <w:pStyle w:val="31"/>
        <w:rPr>
          <w:rFonts w:asciiTheme="minorHAnsi" w:eastAsiaTheme="minorEastAsia" w:hAnsiTheme="minorHAnsi"/>
          <w:noProof/>
          <w:sz w:val="22"/>
          <w:lang w:eastAsia="ru-RU"/>
        </w:rPr>
      </w:pPr>
      <w:hyperlink w:anchor="_Toc99015353" w:history="1">
        <w:r>
          <w:rPr>
            <w:rStyle w:val="afa"/>
            <w:noProof/>
          </w:rPr>
          <w:t>Статья 17. Подготовка документации по планировке территории</w:t>
        </w:r>
        <w:r>
          <w:rPr>
            <w:noProof/>
            <w:webHidden/>
          </w:rPr>
          <w:tab/>
        </w:r>
        <w:r>
          <w:rPr>
            <w:noProof/>
            <w:webHidden/>
          </w:rPr>
          <w:fldChar w:fldCharType="begin"/>
        </w:r>
        <w:r>
          <w:rPr>
            <w:noProof/>
            <w:webHidden/>
          </w:rPr>
          <w:instrText xml:space="preserve"> PAGEREF _Toc99015353 \h </w:instrText>
        </w:r>
        <w:r>
          <w:rPr>
            <w:noProof/>
            <w:webHidden/>
          </w:rPr>
        </w:r>
        <w:r>
          <w:rPr>
            <w:noProof/>
            <w:webHidden/>
          </w:rPr>
          <w:fldChar w:fldCharType="separate"/>
        </w:r>
        <w:r>
          <w:rPr>
            <w:noProof/>
            <w:webHidden/>
          </w:rPr>
          <w:t>15</w:t>
        </w:r>
        <w:r>
          <w:rPr>
            <w:noProof/>
            <w:webHidden/>
          </w:rPr>
          <w:fldChar w:fldCharType="end"/>
        </w:r>
      </w:hyperlink>
    </w:p>
    <w:p>
      <w:pPr>
        <w:pStyle w:val="31"/>
        <w:rPr>
          <w:rFonts w:asciiTheme="minorHAnsi" w:eastAsiaTheme="minorEastAsia" w:hAnsiTheme="minorHAnsi"/>
          <w:noProof/>
          <w:sz w:val="22"/>
          <w:lang w:eastAsia="ru-RU"/>
        </w:rPr>
      </w:pPr>
      <w:hyperlink w:anchor="_Toc99015354" w:history="1">
        <w:r>
          <w:rPr>
            <w:rStyle w:val="afa"/>
            <w:noProof/>
          </w:rPr>
          <w:t>Статья 18. Согласование документации по планировке территории при размещении объекта федерального значения, объекта регионального значения в границах городского округа Анадырь</w:t>
        </w:r>
        <w:r>
          <w:rPr>
            <w:noProof/>
            <w:webHidden/>
          </w:rPr>
          <w:tab/>
        </w:r>
        <w:r>
          <w:rPr>
            <w:noProof/>
            <w:webHidden/>
          </w:rPr>
          <w:fldChar w:fldCharType="begin"/>
        </w:r>
        <w:r>
          <w:rPr>
            <w:noProof/>
            <w:webHidden/>
          </w:rPr>
          <w:instrText xml:space="preserve"> PAGEREF _Toc99015354 \h </w:instrText>
        </w:r>
        <w:r>
          <w:rPr>
            <w:noProof/>
            <w:webHidden/>
          </w:rPr>
        </w:r>
        <w:r>
          <w:rPr>
            <w:noProof/>
            <w:webHidden/>
          </w:rPr>
          <w:fldChar w:fldCharType="separate"/>
        </w:r>
        <w:r>
          <w:rPr>
            <w:noProof/>
            <w:webHidden/>
          </w:rPr>
          <w:t>16</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55" w:history="1">
        <w:r>
          <w:rPr>
            <w:rStyle w:val="afa"/>
            <w:noProof/>
          </w:rPr>
          <w:t>ГЛАВА 4. Проведение общественных обсуждений и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_Toc99015355 \h </w:instrText>
        </w:r>
        <w:r>
          <w:rPr>
            <w:noProof/>
            <w:webHidden/>
          </w:rPr>
        </w:r>
        <w:r>
          <w:rPr>
            <w:noProof/>
            <w:webHidden/>
          </w:rPr>
          <w:fldChar w:fldCharType="separate"/>
        </w:r>
        <w:r>
          <w:rPr>
            <w:noProof/>
            <w:webHidden/>
          </w:rPr>
          <w:t>17</w:t>
        </w:r>
        <w:r>
          <w:rPr>
            <w:noProof/>
            <w:webHidden/>
          </w:rPr>
          <w:fldChar w:fldCharType="end"/>
        </w:r>
      </w:hyperlink>
    </w:p>
    <w:p>
      <w:pPr>
        <w:pStyle w:val="31"/>
        <w:rPr>
          <w:rFonts w:asciiTheme="minorHAnsi" w:eastAsiaTheme="minorEastAsia" w:hAnsiTheme="minorHAnsi"/>
          <w:noProof/>
          <w:sz w:val="22"/>
          <w:lang w:eastAsia="ru-RU"/>
        </w:rPr>
      </w:pPr>
      <w:hyperlink w:anchor="_Toc99015356" w:history="1">
        <w:r>
          <w:rPr>
            <w:rStyle w:val="afa"/>
            <w:noProof/>
          </w:rPr>
          <w:t>Статья 19. Общественные обсуждения и публичные слушания по вопросам землепользования и застройки</w:t>
        </w:r>
        <w:r>
          <w:rPr>
            <w:noProof/>
            <w:webHidden/>
          </w:rPr>
          <w:tab/>
        </w:r>
        <w:r>
          <w:rPr>
            <w:noProof/>
            <w:webHidden/>
          </w:rPr>
          <w:fldChar w:fldCharType="begin"/>
        </w:r>
        <w:r>
          <w:rPr>
            <w:noProof/>
            <w:webHidden/>
          </w:rPr>
          <w:instrText xml:space="preserve"> PAGEREF _Toc99015356 \h </w:instrText>
        </w:r>
        <w:r>
          <w:rPr>
            <w:noProof/>
            <w:webHidden/>
          </w:rPr>
        </w:r>
        <w:r>
          <w:rPr>
            <w:noProof/>
            <w:webHidden/>
          </w:rPr>
          <w:fldChar w:fldCharType="separate"/>
        </w:r>
        <w:r>
          <w:rPr>
            <w:noProof/>
            <w:webHidden/>
          </w:rPr>
          <w:t>17</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57" w:history="1">
        <w:r>
          <w:rPr>
            <w:rStyle w:val="afa"/>
            <w:noProof/>
          </w:rPr>
          <w:t>ГЛАВА 5. Внесение изменений в Правила застройки</w:t>
        </w:r>
        <w:r>
          <w:rPr>
            <w:noProof/>
            <w:webHidden/>
          </w:rPr>
          <w:tab/>
        </w:r>
        <w:r>
          <w:rPr>
            <w:noProof/>
            <w:webHidden/>
          </w:rPr>
          <w:fldChar w:fldCharType="begin"/>
        </w:r>
        <w:r>
          <w:rPr>
            <w:noProof/>
            <w:webHidden/>
          </w:rPr>
          <w:instrText xml:space="preserve"> PAGEREF _Toc99015357 \h </w:instrText>
        </w:r>
        <w:r>
          <w:rPr>
            <w:noProof/>
            <w:webHidden/>
          </w:rPr>
        </w:r>
        <w:r>
          <w:rPr>
            <w:noProof/>
            <w:webHidden/>
          </w:rPr>
          <w:fldChar w:fldCharType="separate"/>
        </w:r>
        <w:r>
          <w:rPr>
            <w:noProof/>
            <w:webHidden/>
          </w:rPr>
          <w:t>17</w:t>
        </w:r>
        <w:r>
          <w:rPr>
            <w:noProof/>
            <w:webHidden/>
          </w:rPr>
          <w:fldChar w:fldCharType="end"/>
        </w:r>
      </w:hyperlink>
    </w:p>
    <w:p>
      <w:pPr>
        <w:pStyle w:val="31"/>
        <w:rPr>
          <w:rFonts w:asciiTheme="minorHAnsi" w:eastAsiaTheme="minorEastAsia" w:hAnsiTheme="minorHAnsi"/>
          <w:noProof/>
          <w:sz w:val="22"/>
          <w:lang w:eastAsia="ru-RU"/>
        </w:rPr>
      </w:pPr>
      <w:hyperlink w:anchor="_Toc99015358" w:history="1">
        <w:r>
          <w:rPr>
            <w:rStyle w:val="afa"/>
            <w:noProof/>
          </w:rPr>
          <w:t>Статья 20. Внесение изменений в Правила застройки</w:t>
        </w:r>
        <w:r>
          <w:rPr>
            <w:noProof/>
            <w:webHidden/>
          </w:rPr>
          <w:tab/>
        </w:r>
        <w:r>
          <w:rPr>
            <w:noProof/>
            <w:webHidden/>
          </w:rPr>
          <w:fldChar w:fldCharType="begin"/>
        </w:r>
        <w:r>
          <w:rPr>
            <w:noProof/>
            <w:webHidden/>
          </w:rPr>
          <w:instrText xml:space="preserve"> PAGEREF _Toc99015358 \h </w:instrText>
        </w:r>
        <w:r>
          <w:rPr>
            <w:noProof/>
            <w:webHidden/>
          </w:rPr>
        </w:r>
        <w:r>
          <w:rPr>
            <w:noProof/>
            <w:webHidden/>
          </w:rPr>
          <w:fldChar w:fldCharType="separate"/>
        </w:r>
        <w:r>
          <w:rPr>
            <w:noProof/>
            <w:webHidden/>
          </w:rPr>
          <w:t>17</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59" w:history="1">
        <w:r>
          <w:rPr>
            <w:rStyle w:val="afa"/>
            <w:noProof/>
          </w:rPr>
          <w:t>ГЛАВА 6. Регулирование иных вопросов землепользования и застройки</w:t>
        </w:r>
        <w:r>
          <w:rPr>
            <w:noProof/>
            <w:webHidden/>
          </w:rPr>
          <w:tab/>
        </w:r>
        <w:r>
          <w:rPr>
            <w:noProof/>
            <w:webHidden/>
          </w:rPr>
          <w:fldChar w:fldCharType="begin"/>
        </w:r>
        <w:r>
          <w:rPr>
            <w:noProof/>
            <w:webHidden/>
          </w:rPr>
          <w:instrText xml:space="preserve"> PAGEREF _Toc99015359 \h </w:instrText>
        </w:r>
        <w:r>
          <w:rPr>
            <w:noProof/>
            <w:webHidden/>
          </w:rPr>
        </w:r>
        <w:r>
          <w:rPr>
            <w:noProof/>
            <w:webHidden/>
          </w:rPr>
          <w:fldChar w:fldCharType="separate"/>
        </w:r>
        <w:r>
          <w:rPr>
            <w:noProof/>
            <w:webHidden/>
          </w:rPr>
          <w:t>20</w:t>
        </w:r>
        <w:r>
          <w:rPr>
            <w:noProof/>
            <w:webHidden/>
          </w:rPr>
          <w:fldChar w:fldCharType="end"/>
        </w:r>
      </w:hyperlink>
    </w:p>
    <w:p>
      <w:pPr>
        <w:pStyle w:val="31"/>
        <w:rPr>
          <w:rFonts w:asciiTheme="minorHAnsi" w:eastAsiaTheme="minorEastAsia" w:hAnsiTheme="minorHAnsi"/>
          <w:noProof/>
          <w:sz w:val="22"/>
          <w:lang w:eastAsia="ru-RU"/>
        </w:rPr>
      </w:pPr>
      <w:hyperlink w:anchor="_Toc99015360" w:history="1">
        <w:r>
          <w:rPr>
            <w:rStyle w:val="afa"/>
            <w:noProof/>
          </w:rPr>
          <w:t>Статья 21. Предоставление разрешения на условно разрешённый вид использования земельного участка или объекта капитального строительства и предоставление разрешения на отклонение от предельных параметров разрешённого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_Toc99015360 \h </w:instrText>
        </w:r>
        <w:r>
          <w:rPr>
            <w:noProof/>
            <w:webHidden/>
          </w:rPr>
        </w:r>
        <w:r>
          <w:rPr>
            <w:noProof/>
            <w:webHidden/>
          </w:rPr>
          <w:fldChar w:fldCharType="separate"/>
        </w:r>
        <w:r>
          <w:rPr>
            <w:noProof/>
            <w:webHidden/>
          </w:rPr>
          <w:t>20</w:t>
        </w:r>
        <w:r>
          <w:rPr>
            <w:noProof/>
            <w:webHidden/>
          </w:rPr>
          <w:fldChar w:fldCharType="end"/>
        </w:r>
      </w:hyperlink>
    </w:p>
    <w:p>
      <w:pPr>
        <w:pStyle w:val="31"/>
        <w:rPr>
          <w:rFonts w:asciiTheme="minorHAnsi" w:eastAsiaTheme="minorEastAsia" w:hAnsiTheme="minorHAnsi"/>
          <w:noProof/>
          <w:sz w:val="22"/>
          <w:lang w:eastAsia="ru-RU"/>
        </w:rPr>
      </w:pPr>
      <w:hyperlink w:anchor="_Toc99015361" w:history="1">
        <w:r>
          <w:rPr>
            <w:rStyle w:val="afa"/>
            <w:noProof/>
          </w:rPr>
          <w:t>Статья 22. Ответственность за нарушение Правил</w:t>
        </w:r>
        <w:r>
          <w:rPr>
            <w:noProof/>
            <w:webHidden/>
          </w:rPr>
          <w:tab/>
        </w:r>
        <w:r>
          <w:rPr>
            <w:noProof/>
            <w:webHidden/>
          </w:rPr>
          <w:fldChar w:fldCharType="begin"/>
        </w:r>
        <w:r>
          <w:rPr>
            <w:noProof/>
            <w:webHidden/>
          </w:rPr>
          <w:instrText xml:space="preserve"> PAGEREF _Toc99015361 \h </w:instrText>
        </w:r>
        <w:r>
          <w:rPr>
            <w:noProof/>
            <w:webHidden/>
          </w:rPr>
        </w:r>
        <w:r>
          <w:rPr>
            <w:noProof/>
            <w:webHidden/>
          </w:rPr>
          <w:fldChar w:fldCharType="separate"/>
        </w:r>
        <w:r>
          <w:rPr>
            <w:noProof/>
            <w:webHidden/>
          </w:rPr>
          <w:t>20</w:t>
        </w:r>
        <w:r>
          <w:rPr>
            <w:noProof/>
            <w:webHidden/>
          </w:rPr>
          <w:fldChar w:fldCharType="end"/>
        </w:r>
      </w:hyperlink>
    </w:p>
    <w:p>
      <w:pPr>
        <w:pStyle w:val="14"/>
        <w:rPr>
          <w:rFonts w:asciiTheme="minorHAnsi" w:eastAsiaTheme="minorEastAsia" w:hAnsiTheme="minorHAnsi"/>
          <w:noProof/>
          <w:sz w:val="22"/>
          <w:lang w:eastAsia="ru-RU"/>
        </w:rPr>
      </w:pPr>
      <w:hyperlink w:anchor="_Toc99015362" w:history="1">
        <w:r>
          <w:rPr>
            <w:rStyle w:val="afa"/>
            <w:noProof/>
          </w:rPr>
          <w:t>ЧАСТЬ II. КАРТА ГРАДОСТРОИТЕЛЬНОГО ЗОНИРОВАНИЯ</w:t>
        </w:r>
        <w:r>
          <w:rPr>
            <w:noProof/>
            <w:webHidden/>
          </w:rPr>
          <w:tab/>
        </w:r>
        <w:r>
          <w:rPr>
            <w:noProof/>
            <w:webHidden/>
          </w:rPr>
          <w:fldChar w:fldCharType="begin"/>
        </w:r>
        <w:r>
          <w:rPr>
            <w:noProof/>
            <w:webHidden/>
          </w:rPr>
          <w:instrText xml:space="preserve"> PAGEREF _Toc99015362 \h </w:instrText>
        </w:r>
        <w:r>
          <w:rPr>
            <w:noProof/>
            <w:webHidden/>
          </w:rPr>
        </w:r>
        <w:r>
          <w:rPr>
            <w:noProof/>
            <w:webHidden/>
          </w:rPr>
          <w:fldChar w:fldCharType="separate"/>
        </w:r>
        <w:r>
          <w:rPr>
            <w:noProof/>
            <w:webHidden/>
          </w:rPr>
          <w:t>21</w:t>
        </w:r>
        <w:r>
          <w:rPr>
            <w:noProof/>
            <w:webHidden/>
          </w:rPr>
          <w:fldChar w:fldCharType="end"/>
        </w:r>
      </w:hyperlink>
    </w:p>
    <w:p>
      <w:pPr>
        <w:pStyle w:val="31"/>
        <w:rPr>
          <w:rFonts w:asciiTheme="minorHAnsi" w:eastAsiaTheme="minorEastAsia" w:hAnsiTheme="minorHAnsi"/>
          <w:noProof/>
          <w:sz w:val="22"/>
          <w:lang w:eastAsia="ru-RU"/>
        </w:rPr>
      </w:pPr>
      <w:hyperlink w:anchor="_Toc99015363" w:history="1">
        <w:r>
          <w:rPr>
            <w:rStyle w:val="afa"/>
            <w:noProof/>
          </w:rPr>
          <w:t>Статья 23. Содержание карты градостроительного зонирования</w:t>
        </w:r>
        <w:r>
          <w:rPr>
            <w:noProof/>
            <w:webHidden/>
          </w:rPr>
          <w:tab/>
        </w:r>
        <w:r>
          <w:rPr>
            <w:noProof/>
            <w:webHidden/>
          </w:rPr>
          <w:fldChar w:fldCharType="begin"/>
        </w:r>
        <w:r>
          <w:rPr>
            <w:noProof/>
            <w:webHidden/>
          </w:rPr>
          <w:instrText xml:space="preserve"> PAGEREF _Toc99015363 \h </w:instrText>
        </w:r>
        <w:r>
          <w:rPr>
            <w:noProof/>
            <w:webHidden/>
          </w:rPr>
        </w:r>
        <w:r>
          <w:rPr>
            <w:noProof/>
            <w:webHidden/>
          </w:rPr>
          <w:fldChar w:fldCharType="separate"/>
        </w:r>
        <w:r>
          <w:rPr>
            <w:noProof/>
            <w:webHidden/>
          </w:rPr>
          <w:t>21</w:t>
        </w:r>
        <w:r>
          <w:rPr>
            <w:noProof/>
            <w:webHidden/>
          </w:rPr>
          <w:fldChar w:fldCharType="end"/>
        </w:r>
      </w:hyperlink>
    </w:p>
    <w:p>
      <w:pPr>
        <w:pStyle w:val="14"/>
        <w:rPr>
          <w:rFonts w:asciiTheme="minorHAnsi" w:eastAsiaTheme="minorEastAsia" w:hAnsiTheme="minorHAnsi"/>
          <w:noProof/>
          <w:sz w:val="22"/>
          <w:lang w:eastAsia="ru-RU"/>
        </w:rPr>
      </w:pPr>
      <w:hyperlink w:anchor="_Toc99015364" w:history="1">
        <w:r>
          <w:rPr>
            <w:rStyle w:val="afa"/>
            <w:noProof/>
          </w:rPr>
          <w:t>ЧАСТЬ I</w:t>
        </w:r>
        <w:r>
          <w:rPr>
            <w:rStyle w:val="afa"/>
            <w:noProof/>
            <w:lang w:val="en-US"/>
          </w:rPr>
          <w:t>I</w:t>
        </w:r>
        <w:r>
          <w:rPr>
            <w:rStyle w:val="afa"/>
            <w:noProof/>
          </w:rPr>
          <w:t>I. ГРАДОСТРОИТЕЛЬНЫЕ РЕГЛАМЕНТЫ</w:t>
        </w:r>
        <w:r>
          <w:rPr>
            <w:noProof/>
            <w:webHidden/>
          </w:rPr>
          <w:tab/>
        </w:r>
        <w:r>
          <w:rPr>
            <w:noProof/>
            <w:webHidden/>
          </w:rPr>
          <w:fldChar w:fldCharType="begin"/>
        </w:r>
        <w:r>
          <w:rPr>
            <w:noProof/>
            <w:webHidden/>
          </w:rPr>
          <w:instrText xml:space="preserve"> PAGEREF _Toc99015364 \h </w:instrText>
        </w:r>
        <w:r>
          <w:rPr>
            <w:noProof/>
            <w:webHidden/>
          </w:rPr>
        </w:r>
        <w:r>
          <w:rPr>
            <w:noProof/>
            <w:webHidden/>
          </w:rPr>
          <w:fldChar w:fldCharType="separate"/>
        </w:r>
        <w:r>
          <w:rPr>
            <w:noProof/>
            <w:webHidden/>
          </w:rPr>
          <w:t>22</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65" w:history="1">
        <w:r>
          <w:rPr>
            <w:rStyle w:val="afa"/>
            <w:noProof/>
          </w:rPr>
          <w:t>ГЛАВА 7. Градостроительные регламенты по видам и параметрам разрешенного использования земельных участков</w:t>
        </w:r>
        <w:r>
          <w:rPr>
            <w:noProof/>
            <w:webHidden/>
          </w:rPr>
          <w:tab/>
        </w:r>
        <w:r>
          <w:rPr>
            <w:noProof/>
            <w:webHidden/>
          </w:rPr>
          <w:fldChar w:fldCharType="begin"/>
        </w:r>
        <w:r>
          <w:rPr>
            <w:noProof/>
            <w:webHidden/>
          </w:rPr>
          <w:instrText xml:space="preserve"> PAGEREF _Toc99015365 \h </w:instrText>
        </w:r>
        <w:r>
          <w:rPr>
            <w:noProof/>
            <w:webHidden/>
          </w:rPr>
        </w:r>
        <w:r>
          <w:rPr>
            <w:noProof/>
            <w:webHidden/>
          </w:rPr>
          <w:fldChar w:fldCharType="separate"/>
        </w:r>
        <w:r>
          <w:rPr>
            <w:noProof/>
            <w:webHidden/>
          </w:rPr>
          <w:t>22</w:t>
        </w:r>
        <w:r>
          <w:rPr>
            <w:noProof/>
            <w:webHidden/>
          </w:rPr>
          <w:fldChar w:fldCharType="end"/>
        </w:r>
      </w:hyperlink>
    </w:p>
    <w:p>
      <w:pPr>
        <w:pStyle w:val="31"/>
        <w:rPr>
          <w:rFonts w:asciiTheme="minorHAnsi" w:eastAsiaTheme="minorEastAsia" w:hAnsiTheme="minorHAnsi"/>
          <w:noProof/>
          <w:sz w:val="22"/>
          <w:lang w:eastAsia="ru-RU"/>
        </w:rPr>
      </w:pPr>
      <w:hyperlink w:anchor="_Toc99015366" w:history="1">
        <w:r>
          <w:rPr>
            <w:rStyle w:val="afa"/>
            <w:rFonts w:eastAsia="Times New Roman"/>
            <w:noProof/>
            <w:lang w:eastAsia="ru-RU"/>
          </w:rPr>
          <w:t>Статья 24. Общие положения</w:t>
        </w:r>
        <w:r>
          <w:rPr>
            <w:noProof/>
            <w:webHidden/>
          </w:rPr>
          <w:tab/>
        </w:r>
        <w:r>
          <w:rPr>
            <w:noProof/>
            <w:webHidden/>
          </w:rPr>
          <w:fldChar w:fldCharType="begin"/>
        </w:r>
        <w:r>
          <w:rPr>
            <w:noProof/>
            <w:webHidden/>
          </w:rPr>
          <w:instrText xml:space="preserve"> PAGEREF _Toc99015366 \h </w:instrText>
        </w:r>
        <w:r>
          <w:rPr>
            <w:noProof/>
            <w:webHidden/>
          </w:rPr>
        </w:r>
        <w:r>
          <w:rPr>
            <w:noProof/>
            <w:webHidden/>
          </w:rPr>
          <w:fldChar w:fldCharType="separate"/>
        </w:r>
        <w:r>
          <w:rPr>
            <w:noProof/>
            <w:webHidden/>
          </w:rPr>
          <w:t>22</w:t>
        </w:r>
        <w:r>
          <w:rPr>
            <w:noProof/>
            <w:webHidden/>
          </w:rPr>
          <w:fldChar w:fldCharType="end"/>
        </w:r>
      </w:hyperlink>
    </w:p>
    <w:p>
      <w:pPr>
        <w:pStyle w:val="31"/>
        <w:rPr>
          <w:rFonts w:asciiTheme="minorHAnsi" w:eastAsiaTheme="minorEastAsia" w:hAnsiTheme="minorHAnsi"/>
          <w:noProof/>
          <w:sz w:val="22"/>
          <w:lang w:eastAsia="ru-RU"/>
        </w:rPr>
      </w:pPr>
      <w:hyperlink w:anchor="_Toc99015367" w:history="1">
        <w:r>
          <w:rPr>
            <w:rStyle w:val="afa"/>
            <w:rFonts w:eastAsia="Times New Roman" w:cs="Times New Roman"/>
            <w:noProof/>
            <w:lang w:eastAsia="ru-RU"/>
          </w:rPr>
          <w:t>Зона застройки среднеэтажными жилыми домами</w:t>
        </w:r>
        <w:r>
          <w:rPr>
            <w:noProof/>
            <w:webHidden/>
          </w:rPr>
          <w:tab/>
        </w:r>
        <w:r>
          <w:rPr>
            <w:noProof/>
            <w:webHidden/>
          </w:rPr>
          <w:fldChar w:fldCharType="begin"/>
        </w:r>
        <w:r>
          <w:rPr>
            <w:noProof/>
            <w:webHidden/>
          </w:rPr>
          <w:instrText xml:space="preserve"> PAGEREF _Toc99015367 \h </w:instrText>
        </w:r>
        <w:r>
          <w:rPr>
            <w:noProof/>
            <w:webHidden/>
          </w:rPr>
        </w:r>
        <w:r>
          <w:rPr>
            <w:noProof/>
            <w:webHidden/>
          </w:rPr>
          <w:fldChar w:fldCharType="separate"/>
        </w:r>
        <w:r>
          <w:rPr>
            <w:noProof/>
            <w:webHidden/>
          </w:rPr>
          <w:t>23</w:t>
        </w:r>
        <w:r>
          <w:rPr>
            <w:noProof/>
            <w:webHidden/>
          </w:rPr>
          <w:fldChar w:fldCharType="end"/>
        </w:r>
      </w:hyperlink>
    </w:p>
    <w:p>
      <w:pPr>
        <w:pStyle w:val="31"/>
        <w:rPr>
          <w:rFonts w:asciiTheme="minorHAnsi" w:eastAsiaTheme="minorEastAsia" w:hAnsiTheme="minorHAnsi"/>
          <w:noProof/>
          <w:sz w:val="22"/>
          <w:lang w:eastAsia="ru-RU"/>
        </w:rPr>
      </w:pPr>
      <w:hyperlink w:anchor="_Toc99015368" w:history="1">
        <w:r>
          <w:rPr>
            <w:rStyle w:val="afa"/>
            <w:rFonts w:eastAsia="Times New Roman"/>
            <w:noProof/>
            <w:lang w:eastAsia="ru-RU"/>
          </w:rPr>
          <w:t xml:space="preserve">Статья 25. Ж-1. </w:t>
        </w:r>
        <w:r>
          <w:rPr>
            <w:rStyle w:val="afa"/>
            <w:noProof/>
          </w:rPr>
          <w:t>Зона</w:t>
        </w:r>
        <w:r>
          <w:rPr>
            <w:rStyle w:val="afa"/>
            <w:rFonts w:eastAsia="Times New Roman"/>
            <w:noProof/>
            <w:lang w:eastAsia="ru-RU"/>
          </w:rPr>
          <w:t xml:space="preserve"> застройки индивидуальными жилыми домами</w:t>
        </w:r>
        <w:r>
          <w:rPr>
            <w:noProof/>
            <w:webHidden/>
          </w:rPr>
          <w:tab/>
        </w:r>
        <w:r>
          <w:rPr>
            <w:noProof/>
            <w:webHidden/>
          </w:rPr>
          <w:fldChar w:fldCharType="begin"/>
        </w:r>
        <w:r>
          <w:rPr>
            <w:noProof/>
            <w:webHidden/>
          </w:rPr>
          <w:instrText xml:space="preserve"> PAGEREF _Toc99015368 \h </w:instrText>
        </w:r>
        <w:r>
          <w:rPr>
            <w:noProof/>
            <w:webHidden/>
          </w:rPr>
        </w:r>
        <w:r>
          <w:rPr>
            <w:noProof/>
            <w:webHidden/>
          </w:rPr>
          <w:fldChar w:fldCharType="separate"/>
        </w:r>
        <w:r>
          <w:rPr>
            <w:noProof/>
            <w:webHidden/>
          </w:rPr>
          <w:t>24</w:t>
        </w:r>
        <w:r>
          <w:rPr>
            <w:noProof/>
            <w:webHidden/>
          </w:rPr>
          <w:fldChar w:fldCharType="end"/>
        </w:r>
      </w:hyperlink>
    </w:p>
    <w:p>
      <w:pPr>
        <w:pStyle w:val="31"/>
        <w:rPr>
          <w:rFonts w:asciiTheme="minorHAnsi" w:eastAsiaTheme="minorEastAsia" w:hAnsiTheme="minorHAnsi"/>
          <w:noProof/>
          <w:sz w:val="22"/>
          <w:lang w:eastAsia="ru-RU"/>
        </w:rPr>
      </w:pPr>
      <w:hyperlink w:anchor="_Toc99015369" w:history="1">
        <w:r>
          <w:rPr>
            <w:rStyle w:val="afa"/>
            <w:rFonts w:eastAsia="Times New Roman"/>
            <w:noProof/>
            <w:lang w:eastAsia="ru-RU"/>
          </w:rPr>
          <w:t>Статья 26. Ж-2. Зона застройки малоэтажными жилыми домами</w:t>
        </w:r>
        <w:r>
          <w:rPr>
            <w:noProof/>
            <w:webHidden/>
          </w:rPr>
          <w:tab/>
        </w:r>
        <w:r>
          <w:rPr>
            <w:noProof/>
            <w:webHidden/>
          </w:rPr>
          <w:fldChar w:fldCharType="begin"/>
        </w:r>
        <w:r>
          <w:rPr>
            <w:noProof/>
            <w:webHidden/>
          </w:rPr>
          <w:instrText xml:space="preserve"> PAGEREF _Toc99015369 \h </w:instrText>
        </w:r>
        <w:r>
          <w:rPr>
            <w:noProof/>
            <w:webHidden/>
          </w:rPr>
        </w:r>
        <w:r>
          <w:rPr>
            <w:noProof/>
            <w:webHidden/>
          </w:rPr>
          <w:fldChar w:fldCharType="separate"/>
        </w:r>
        <w:r>
          <w:rPr>
            <w:noProof/>
            <w:webHidden/>
          </w:rPr>
          <w:t>32</w:t>
        </w:r>
        <w:r>
          <w:rPr>
            <w:noProof/>
            <w:webHidden/>
          </w:rPr>
          <w:fldChar w:fldCharType="end"/>
        </w:r>
      </w:hyperlink>
    </w:p>
    <w:p>
      <w:pPr>
        <w:pStyle w:val="31"/>
        <w:rPr>
          <w:rFonts w:asciiTheme="minorHAnsi" w:eastAsiaTheme="minorEastAsia" w:hAnsiTheme="minorHAnsi"/>
          <w:noProof/>
          <w:sz w:val="22"/>
          <w:lang w:eastAsia="ru-RU"/>
        </w:rPr>
      </w:pPr>
      <w:hyperlink w:anchor="_Toc99015370" w:history="1">
        <w:r>
          <w:rPr>
            <w:rStyle w:val="afa"/>
            <w:rFonts w:eastAsia="Times New Roman"/>
            <w:noProof/>
            <w:lang w:eastAsia="ru-RU"/>
          </w:rPr>
          <w:t>Статья 27. Ж-3. Зона застройки среднеэтажными жилыми домами</w:t>
        </w:r>
        <w:r>
          <w:rPr>
            <w:noProof/>
            <w:webHidden/>
          </w:rPr>
          <w:tab/>
        </w:r>
        <w:r>
          <w:rPr>
            <w:noProof/>
            <w:webHidden/>
          </w:rPr>
          <w:fldChar w:fldCharType="begin"/>
        </w:r>
        <w:r>
          <w:rPr>
            <w:noProof/>
            <w:webHidden/>
          </w:rPr>
          <w:instrText xml:space="preserve"> PAGEREF _Toc99015370 \h </w:instrText>
        </w:r>
        <w:r>
          <w:rPr>
            <w:noProof/>
            <w:webHidden/>
          </w:rPr>
        </w:r>
        <w:r>
          <w:rPr>
            <w:noProof/>
            <w:webHidden/>
          </w:rPr>
          <w:fldChar w:fldCharType="separate"/>
        </w:r>
        <w:r>
          <w:rPr>
            <w:noProof/>
            <w:webHidden/>
          </w:rPr>
          <w:t>42</w:t>
        </w:r>
        <w:r>
          <w:rPr>
            <w:noProof/>
            <w:webHidden/>
          </w:rPr>
          <w:fldChar w:fldCharType="end"/>
        </w:r>
      </w:hyperlink>
    </w:p>
    <w:p>
      <w:pPr>
        <w:pStyle w:val="31"/>
        <w:rPr>
          <w:rFonts w:asciiTheme="minorHAnsi" w:eastAsiaTheme="minorEastAsia" w:hAnsiTheme="minorHAnsi"/>
          <w:noProof/>
          <w:sz w:val="22"/>
          <w:lang w:eastAsia="ru-RU"/>
        </w:rPr>
      </w:pPr>
      <w:hyperlink w:anchor="_Toc99015371" w:history="1">
        <w:r>
          <w:rPr>
            <w:rStyle w:val="afa"/>
            <w:rFonts w:eastAsia="Times New Roman"/>
            <w:noProof/>
            <w:lang w:eastAsia="ru-RU"/>
          </w:rPr>
          <w:t>Статья 28. ОД-1. Зона делового, общественного и коммерческого назначения</w:t>
        </w:r>
        <w:r>
          <w:rPr>
            <w:noProof/>
            <w:webHidden/>
          </w:rPr>
          <w:tab/>
        </w:r>
        <w:r>
          <w:rPr>
            <w:noProof/>
            <w:webHidden/>
          </w:rPr>
          <w:fldChar w:fldCharType="begin"/>
        </w:r>
        <w:r>
          <w:rPr>
            <w:noProof/>
            <w:webHidden/>
          </w:rPr>
          <w:instrText xml:space="preserve"> PAGEREF _Toc99015371 \h </w:instrText>
        </w:r>
        <w:r>
          <w:rPr>
            <w:noProof/>
            <w:webHidden/>
          </w:rPr>
        </w:r>
        <w:r>
          <w:rPr>
            <w:noProof/>
            <w:webHidden/>
          </w:rPr>
          <w:fldChar w:fldCharType="separate"/>
        </w:r>
        <w:r>
          <w:rPr>
            <w:noProof/>
            <w:webHidden/>
          </w:rPr>
          <w:t>51</w:t>
        </w:r>
        <w:r>
          <w:rPr>
            <w:noProof/>
            <w:webHidden/>
          </w:rPr>
          <w:fldChar w:fldCharType="end"/>
        </w:r>
      </w:hyperlink>
    </w:p>
    <w:p>
      <w:pPr>
        <w:pStyle w:val="31"/>
        <w:rPr>
          <w:rFonts w:asciiTheme="minorHAnsi" w:eastAsiaTheme="minorEastAsia" w:hAnsiTheme="minorHAnsi"/>
          <w:noProof/>
          <w:sz w:val="22"/>
          <w:lang w:eastAsia="ru-RU"/>
        </w:rPr>
      </w:pPr>
      <w:hyperlink w:anchor="_Toc99015372" w:history="1">
        <w:r>
          <w:rPr>
            <w:rStyle w:val="afa"/>
            <w:rFonts w:eastAsia="Times New Roman"/>
            <w:noProof/>
            <w:lang w:eastAsia="ru-RU"/>
          </w:rPr>
          <w:t>Статья 29. ОД-2. Зона размещения объектов социального и коммунально-бытового назначения</w:t>
        </w:r>
        <w:r>
          <w:rPr>
            <w:noProof/>
            <w:webHidden/>
          </w:rPr>
          <w:tab/>
        </w:r>
        <w:r>
          <w:rPr>
            <w:noProof/>
            <w:webHidden/>
          </w:rPr>
          <w:fldChar w:fldCharType="begin"/>
        </w:r>
        <w:r>
          <w:rPr>
            <w:noProof/>
            <w:webHidden/>
          </w:rPr>
          <w:instrText xml:space="preserve"> PAGEREF _Toc99015372 \h </w:instrText>
        </w:r>
        <w:r>
          <w:rPr>
            <w:noProof/>
            <w:webHidden/>
          </w:rPr>
        </w:r>
        <w:r>
          <w:rPr>
            <w:noProof/>
            <w:webHidden/>
          </w:rPr>
          <w:fldChar w:fldCharType="separate"/>
        </w:r>
        <w:r>
          <w:rPr>
            <w:noProof/>
            <w:webHidden/>
          </w:rPr>
          <w:t>62</w:t>
        </w:r>
        <w:r>
          <w:rPr>
            <w:noProof/>
            <w:webHidden/>
          </w:rPr>
          <w:fldChar w:fldCharType="end"/>
        </w:r>
      </w:hyperlink>
    </w:p>
    <w:p>
      <w:pPr>
        <w:pStyle w:val="31"/>
        <w:rPr>
          <w:rFonts w:asciiTheme="minorHAnsi" w:eastAsiaTheme="minorEastAsia" w:hAnsiTheme="minorHAnsi"/>
          <w:noProof/>
          <w:sz w:val="22"/>
          <w:lang w:eastAsia="ru-RU"/>
        </w:rPr>
      </w:pPr>
      <w:hyperlink w:anchor="_Toc99015373" w:history="1">
        <w:r>
          <w:rPr>
            <w:rStyle w:val="afa"/>
            <w:rFonts w:eastAsia="Times New Roman"/>
            <w:noProof/>
            <w:lang w:eastAsia="ru-RU"/>
          </w:rPr>
          <w:t>Статья 30. П.  Зона производственно-коммунальных объектов</w:t>
        </w:r>
        <w:r>
          <w:rPr>
            <w:noProof/>
            <w:webHidden/>
          </w:rPr>
          <w:tab/>
        </w:r>
        <w:r>
          <w:rPr>
            <w:noProof/>
            <w:webHidden/>
          </w:rPr>
          <w:fldChar w:fldCharType="begin"/>
        </w:r>
        <w:r>
          <w:rPr>
            <w:noProof/>
            <w:webHidden/>
          </w:rPr>
          <w:instrText xml:space="preserve"> PAGEREF _Toc99015373 \h </w:instrText>
        </w:r>
        <w:r>
          <w:rPr>
            <w:noProof/>
            <w:webHidden/>
          </w:rPr>
        </w:r>
        <w:r>
          <w:rPr>
            <w:noProof/>
            <w:webHidden/>
          </w:rPr>
          <w:fldChar w:fldCharType="separate"/>
        </w:r>
        <w:r>
          <w:rPr>
            <w:noProof/>
            <w:webHidden/>
          </w:rPr>
          <w:t>69</w:t>
        </w:r>
        <w:r>
          <w:rPr>
            <w:noProof/>
            <w:webHidden/>
          </w:rPr>
          <w:fldChar w:fldCharType="end"/>
        </w:r>
      </w:hyperlink>
    </w:p>
    <w:p>
      <w:pPr>
        <w:pStyle w:val="31"/>
        <w:rPr>
          <w:rFonts w:asciiTheme="minorHAnsi" w:eastAsiaTheme="minorEastAsia" w:hAnsiTheme="minorHAnsi"/>
          <w:noProof/>
          <w:sz w:val="22"/>
          <w:lang w:eastAsia="ru-RU"/>
        </w:rPr>
      </w:pPr>
      <w:hyperlink w:anchor="_Toc99015374" w:history="1">
        <w:r>
          <w:rPr>
            <w:rStyle w:val="afa"/>
            <w:rFonts w:eastAsia="Times New Roman"/>
            <w:noProof/>
            <w:lang w:eastAsia="ru-RU"/>
          </w:rPr>
          <w:t>Статья 31. И. Зона объектов инженерной инфраструктуры</w:t>
        </w:r>
        <w:r>
          <w:rPr>
            <w:noProof/>
            <w:webHidden/>
          </w:rPr>
          <w:tab/>
        </w:r>
        <w:r>
          <w:rPr>
            <w:noProof/>
            <w:webHidden/>
          </w:rPr>
          <w:fldChar w:fldCharType="begin"/>
        </w:r>
        <w:r>
          <w:rPr>
            <w:noProof/>
            <w:webHidden/>
          </w:rPr>
          <w:instrText xml:space="preserve"> PAGEREF _Toc99015374 \h </w:instrText>
        </w:r>
        <w:r>
          <w:rPr>
            <w:noProof/>
            <w:webHidden/>
          </w:rPr>
        </w:r>
        <w:r>
          <w:rPr>
            <w:noProof/>
            <w:webHidden/>
          </w:rPr>
          <w:fldChar w:fldCharType="separate"/>
        </w:r>
        <w:r>
          <w:rPr>
            <w:noProof/>
            <w:webHidden/>
          </w:rPr>
          <w:t>83</w:t>
        </w:r>
        <w:r>
          <w:rPr>
            <w:noProof/>
            <w:webHidden/>
          </w:rPr>
          <w:fldChar w:fldCharType="end"/>
        </w:r>
      </w:hyperlink>
    </w:p>
    <w:p>
      <w:pPr>
        <w:pStyle w:val="31"/>
        <w:rPr>
          <w:rFonts w:asciiTheme="minorHAnsi" w:eastAsiaTheme="minorEastAsia" w:hAnsiTheme="minorHAnsi"/>
          <w:noProof/>
          <w:sz w:val="22"/>
          <w:lang w:eastAsia="ru-RU"/>
        </w:rPr>
      </w:pPr>
      <w:hyperlink w:anchor="_Toc99015375" w:history="1">
        <w:r>
          <w:rPr>
            <w:rStyle w:val="afa"/>
            <w:rFonts w:eastAsia="Times New Roman"/>
            <w:noProof/>
            <w:lang w:eastAsia="ru-RU"/>
          </w:rPr>
          <w:t>Статья 32. Т-1. Зона объектов транспортной инфраструктуры</w:t>
        </w:r>
        <w:r>
          <w:rPr>
            <w:noProof/>
            <w:webHidden/>
          </w:rPr>
          <w:tab/>
        </w:r>
        <w:r>
          <w:rPr>
            <w:noProof/>
            <w:webHidden/>
          </w:rPr>
          <w:fldChar w:fldCharType="begin"/>
        </w:r>
        <w:r>
          <w:rPr>
            <w:noProof/>
            <w:webHidden/>
          </w:rPr>
          <w:instrText xml:space="preserve"> PAGEREF _Toc99015375 \h </w:instrText>
        </w:r>
        <w:r>
          <w:rPr>
            <w:noProof/>
            <w:webHidden/>
          </w:rPr>
        </w:r>
        <w:r>
          <w:rPr>
            <w:noProof/>
            <w:webHidden/>
          </w:rPr>
          <w:fldChar w:fldCharType="separate"/>
        </w:r>
        <w:r>
          <w:rPr>
            <w:noProof/>
            <w:webHidden/>
          </w:rPr>
          <w:t>89</w:t>
        </w:r>
        <w:r>
          <w:rPr>
            <w:noProof/>
            <w:webHidden/>
          </w:rPr>
          <w:fldChar w:fldCharType="end"/>
        </w:r>
      </w:hyperlink>
    </w:p>
    <w:p>
      <w:pPr>
        <w:pStyle w:val="31"/>
        <w:rPr>
          <w:rFonts w:asciiTheme="minorHAnsi" w:eastAsiaTheme="minorEastAsia" w:hAnsiTheme="minorHAnsi"/>
          <w:noProof/>
          <w:sz w:val="22"/>
          <w:lang w:eastAsia="ru-RU"/>
        </w:rPr>
      </w:pPr>
      <w:hyperlink w:anchor="_Toc99015376" w:history="1">
        <w:r>
          <w:rPr>
            <w:rStyle w:val="afa"/>
            <w:rFonts w:eastAsia="Times New Roman"/>
            <w:noProof/>
            <w:lang w:eastAsia="ru-RU"/>
          </w:rPr>
          <w:t>Статья 33. Т-2. Зона объектов воздушного транспорта</w:t>
        </w:r>
        <w:r>
          <w:rPr>
            <w:noProof/>
            <w:webHidden/>
          </w:rPr>
          <w:tab/>
        </w:r>
        <w:r>
          <w:rPr>
            <w:noProof/>
            <w:webHidden/>
          </w:rPr>
          <w:fldChar w:fldCharType="begin"/>
        </w:r>
        <w:r>
          <w:rPr>
            <w:noProof/>
            <w:webHidden/>
          </w:rPr>
          <w:instrText xml:space="preserve"> PAGEREF _Toc99015376 \h </w:instrText>
        </w:r>
        <w:r>
          <w:rPr>
            <w:noProof/>
            <w:webHidden/>
          </w:rPr>
        </w:r>
        <w:r>
          <w:rPr>
            <w:noProof/>
            <w:webHidden/>
          </w:rPr>
          <w:fldChar w:fldCharType="separate"/>
        </w:r>
        <w:r>
          <w:rPr>
            <w:noProof/>
            <w:webHidden/>
          </w:rPr>
          <w:t>93</w:t>
        </w:r>
        <w:r>
          <w:rPr>
            <w:noProof/>
            <w:webHidden/>
          </w:rPr>
          <w:fldChar w:fldCharType="end"/>
        </w:r>
      </w:hyperlink>
    </w:p>
    <w:p>
      <w:pPr>
        <w:pStyle w:val="31"/>
        <w:rPr>
          <w:rFonts w:asciiTheme="minorHAnsi" w:eastAsiaTheme="minorEastAsia" w:hAnsiTheme="minorHAnsi"/>
          <w:noProof/>
          <w:sz w:val="22"/>
          <w:lang w:eastAsia="ru-RU"/>
        </w:rPr>
      </w:pPr>
      <w:hyperlink w:anchor="_Toc99015377" w:history="1">
        <w:r>
          <w:rPr>
            <w:rStyle w:val="afa"/>
            <w:rFonts w:eastAsia="Times New Roman"/>
            <w:noProof/>
            <w:lang w:eastAsia="ru-RU"/>
          </w:rPr>
          <w:t>Статья 34. СХ. Зона объектов сельскохозяйственного назначения</w:t>
        </w:r>
        <w:r>
          <w:rPr>
            <w:noProof/>
            <w:webHidden/>
          </w:rPr>
          <w:tab/>
        </w:r>
        <w:r>
          <w:rPr>
            <w:noProof/>
            <w:webHidden/>
          </w:rPr>
          <w:fldChar w:fldCharType="begin"/>
        </w:r>
        <w:r>
          <w:rPr>
            <w:noProof/>
            <w:webHidden/>
          </w:rPr>
          <w:instrText xml:space="preserve"> PAGEREF _Toc99015377 \h </w:instrText>
        </w:r>
        <w:r>
          <w:rPr>
            <w:noProof/>
            <w:webHidden/>
          </w:rPr>
        </w:r>
        <w:r>
          <w:rPr>
            <w:noProof/>
            <w:webHidden/>
          </w:rPr>
          <w:fldChar w:fldCharType="separate"/>
        </w:r>
        <w:r>
          <w:rPr>
            <w:noProof/>
            <w:webHidden/>
          </w:rPr>
          <w:t>97</w:t>
        </w:r>
        <w:r>
          <w:rPr>
            <w:noProof/>
            <w:webHidden/>
          </w:rPr>
          <w:fldChar w:fldCharType="end"/>
        </w:r>
      </w:hyperlink>
    </w:p>
    <w:p>
      <w:pPr>
        <w:pStyle w:val="31"/>
        <w:rPr>
          <w:rFonts w:asciiTheme="minorHAnsi" w:eastAsiaTheme="minorEastAsia" w:hAnsiTheme="minorHAnsi"/>
          <w:noProof/>
          <w:sz w:val="22"/>
          <w:lang w:eastAsia="ru-RU"/>
        </w:rPr>
      </w:pPr>
      <w:hyperlink w:anchor="_Toc99015378" w:history="1">
        <w:r>
          <w:rPr>
            <w:rStyle w:val="afa"/>
            <w:rFonts w:eastAsia="Times New Roman"/>
            <w:noProof/>
            <w:lang w:eastAsia="ru-RU"/>
          </w:rPr>
          <w:t>Статья 35. Р-1. Зона зелёных насаждений общего пользования</w:t>
        </w:r>
        <w:r>
          <w:rPr>
            <w:noProof/>
            <w:webHidden/>
          </w:rPr>
          <w:tab/>
        </w:r>
        <w:r>
          <w:rPr>
            <w:noProof/>
            <w:webHidden/>
          </w:rPr>
          <w:fldChar w:fldCharType="begin"/>
        </w:r>
        <w:r>
          <w:rPr>
            <w:noProof/>
            <w:webHidden/>
          </w:rPr>
          <w:instrText xml:space="preserve"> PAGEREF _Toc99015378 \h </w:instrText>
        </w:r>
        <w:r>
          <w:rPr>
            <w:noProof/>
            <w:webHidden/>
          </w:rPr>
        </w:r>
        <w:r>
          <w:rPr>
            <w:noProof/>
            <w:webHidden/>
          </w:rPr>
          <w:fldChar w:fldCharType="separate"/>
        </w:r>
        <w:r>
          <w:rPr>
            <w:noProof/>
            <w:webHidden/>
          </w:rPr>
          <w:t>105</w:t>
        </w:r>
        <w:r>
          <w:rPr>
            <w:noProof/>
            <w:webHidden/>
          </w:rPr>
          <w:fldChar w:fldCharType="end"/>
        </w:r>
      </w:hyperlink>
    </w:p>
    <w:p>
      <w:pPr>
        <w:pStyle w:val="31"/>
        <w:rPr>
          <w:rFonts w:asciiTheme="minorHAnsi" w:eastAsiaTheme="minorEastAsia" w:hAnsiTheme="minorHAnsi"/>
          <w:noProof/>
          <w:sz w:val="22"/>
          <w:lang w:eastAsia="ru-RU"/>
        </w:rPr>
      </w:pPr>
      <w:hyperlink w:anchor="_Toc99015379" w:history="1">
        <w:r>
          <w:rPr>
            <w:rStyle w:val="afa"/>
            <w:rFonts w:eastAsia="Times New Roman"/>
            <w:noProof/>
            <w:lang w:eastAsia="ru-RU"/>
          </w:rPr>
          <w:t>Статья 36. Р-2. Зона рекреационного назначения</w:t>
        </w:r>
        <w:r>
          <w:rPr>
            <w:noProof/>
            <w:webHidden/>
          </w:rPr>
          <w:tab/>
        </w:r>
        <w:r>
          <w:rPr>
            <w:noProof/>
            <w:webHidden/>
          </w:rPr>
          <w:fldChar w:fldCharType="begin"/>
        </w:r>
        <w:r>
          <w:rPr>
            <w:noProof/>
            <w:webHidden/>
          </w:rPr>
          <w:instrText xml:space="preserve"> PAGEREF _Toc99015379 \h </w:instrText>
        </w:r>
        <w:r>
          <w:rPr>
            <w:noProof/>
            <w:webHidden/>
          </w:rPr>
        </w:r>
        <w:r>
          <w:rPr>
            <w:noProof/>
            <w:webHidden/>
          </w:rPr>
          <w:fldChar w:fldCharType="separate"/>
        </w:r>
        <w:r>
          <w:rPr>
            <w:noProof/>
            <w:webHidden/>
          </w:rPr>
          <w:t>109</w:t>
        </w:r>
        <w:r>
          <w:rPr>
            <w:noProof/>
            <w:webHidden/>
          </w:rPr>
          <w:fldChar w:fldCharType="end"/>
        </w:r>
      </w:hyperlink>
    </w:p>
    <w:p>
      <w:pPr>
        <w:pStyle w:val="31"/>
        <w:rPr>
          <w:rFonts w:asciiTheme="minorHAnsi" w:eastAsiaTheme="minorEastAsia" w:hAnsiTheme="minorHAnsi"/>
          <w:noProof/>
          <w:sz w:val="22"/>
          <w:lang w:eastAsia="ru-RU"/>
        </w:rPr>
      </w:pPr>
      <w:hyperlink w:anchor="_Toc99015380" w:history="1">
        <w:r>
          <w:rPr>
            <w:rStyle w:val="afa"/>
            <w:rFonts w:eastAsia="Times New Roman"/>
            <w:noProof/>
            <w:lang w:eastAsia="ru-RU"/>
          </w:rPr>
          <w:t>Статья 37. СП-1. Зона специального назначения, связанная с захоронениями</w:t>
        </w:r>
        <w:r>
          <w:rPr>
            <w:noProof/>
            <w:webHidden/>
          </w:rPr>
          <w:tab/>
        </w:r>
        <w:r>
          <w:rPr>
            <w:noProof/>
            <w:webHidden/>
          </w:rPr>
          <w:fldChar w:fldCharType="begin"/>
        </w:r>
        <w:r>
          <w:rPr>
            <w:noProof/>
            <w:webHidden/>
          </w:rPr>
          <w:instrText xml:space="preserve"> PAGEREF _Toc99015380 \h </w:instrText>
        </w:r>
        <w:r>
          <w:rPr>
            <w:noProof/>
            <w:webHidden/>
          </w:rPr>
        </w:r>
        <w:r>
          <w:rPr>
            <w:noProof/>
            <w:webHidden/>
          </w:rPr>
          <w:fldChar w:fldCharType="separate"/>
        </w:r>
        <w:r>
          <w:rPr>
            <w:noProof/>
            <w:webHidden/>
          </w:rPr>
          <w:t>114</w:t>
        </w:r>
        <w:r>
          <w:rPr>
            <w:noProof/>
            <w:webHidden/>
          </w:rPr>
          <w:fldChar w:fldCharType="end"/>
        </w:r>
      </w:hyperlink>
    </w:p>
    <w:p>
      <w:pPr>
        <w:pStyle w:val="31"/>
        <w:rPr>
          <w:rFonts w:asciiTheme="minorHAnsi" w:eastAsiaTheme="minorEastAsia" w:hAnsiTheme="minorHAnsi"/>
          <w:noProof/>
          <w:sz w:val="22"/>
          <w:lang w:eastAsia="ru-RU"/>
        </w:rPr>
      </w:pPr>
      <w:hyperlink w:anchor="_Toc99015381" w:history="1">
        <w:r>
          <w:rPr>
            <w:rStyle w:val="afa"/>
            <w:rFonts w:eastAsia="Times New Roman"/>
            <w:noProof/>
            <w:lang w:eastAsia="ru-RU"/>
          </w:rPr>
          <w:t>Статья 38. СП-2. Зона специального назначения, связанная с размещением отходов</w:t>
        </w:r>
        <w:r>
          <w:rPr>
            <w:noProof/>
            <w:webHidden/>
          </w:rPr>
          <w:tab/>
        </w:r>
        <w:r>
          <w:rPr>
            <w:noProof/>
            <w:webHidden/>
          </w:rPr>
          <w:fldChar w:fldCharType="begin"/>
        </w:r>
        <w:r>
          <w:rPr>
            <w:noProof/>
            <w:webHidden/>
          </w:rPr>
          <w:instrText xml:space="preserve"> PAGEREF _Toc99015381 \h </w:instrText>
        </w:r>
        <w:r>
          <w:rPr>
            <w:noProof/>
            <w:webHidden/>
          </w:rPr>
        </w:r>
        <w:r>
          <w:rPr>
            <w:noProof/>
            <w:webHidden/>
          </w:rPr>
          <w:fldChar w:fldCharType="separate"/>
        </w:r>
        <w:r>
          <w:rPr>
            <w:noProof/>
            <w:webHidden/>
          </w:rPr>
          <w:t>118</w:t>
        </w:r>
        <w:r>
          <w:rPr>
            <w:noProof/>
            <w:webHidden/>
          </w:rPr>
          <w:fldChar w:fldCharType="end"/>
        </w:r>
      </w:hyperlink>
    </w:p>
    <w:p>
      <w:pPr>
        <w:pStyle w:val="31"/>
        <w:rPr>
          <w:rFonts w:asciiTheme="minorHAnsi" w:eastAsiaTheme="minorEastAsia" w:hAnsiTheme="minorHAnsi"/>
          <w:noProof/>
          <w:sz w:val="22"/>
          <w:lang w:eastAsia="ru-RU"/>
        </w:rPr>
      </w:pPr>
      <w:hyperlink w:anchor="_Toc99015382" w:history="1">
        <w:r>
          <w:rPr>
            <w:rStyle w:val="afa"/>
            <w:rFonts w:eastAsia="Times New Roman"/>
            <w:noProof/>
            <w:lang w:eastAsia="ru-RU"/>
          </w:rPr>
          <w:t>Статья 39. СП-3. Зона специального назначения, связанная с государственными объектами.</w:t>
        </w:r>
        <w:r>
          <w:rPr>
            <w:noProof/>
            <w:webHidden/>
          </w:rPr>
          <w:tab/>
        </w:r>
        <w:r>
          <w:rPr>
            <w:noProof/>
            <w:webHidden/>
          </w:rPr>
          <w:fldChar w:fldCharType="begin"/>
        </w:r>
        <w:r>
          <w:rPr>
            <w:noProof/>
            <w:webHidden/>
          </w:rPr>
          <w:instrText xml:space="preserve"> PAGEREF _Toc99015382 \h </w:instrText>
        </w:r>
        <w:r>
          <w:rPr>
            <w:noProof/>
            <w:webHidden/>
          </w:rPr>
        </w:r>
        <w:r>
          <w:rPr>
            <w:noProof/>
            <w:webHidden/>
          </w:rPr>
          <w:fldChar w:fldCharType="separate"/>
        </w:r>
        <w:r>
          <w:rPr>
            <w:noProof/>
            <w:webHidden/>
          </w:rPr>
          <w:t>121</w:t>
        </w:r>
        <w:r>
          <w:rPr>
            <w:noProof/>
            <w:webHidden/>
          </w:rPr>
          <w:fldChar w:fldCharType="end"/>
        </w:r>
      </w:hyperlink>
    </w:p>
    <w:p>
      <w:pPr>
        <w:pStyle w:val="31"/>
        <w:rPr>
          <w:rFonts w:asciiTheme="minorHAnsi" w:eastAsiaTheme="minorEastAsia" w:hAnsiTheme="minorHAnsi"/>
          <w:noProof/>
          <w:sz w:val="22"/>
          <w:lang w:eastAsia="ru-RU"/>
        </w:rPr>
      </w:pPr>
      <w:hyperlink w:anchor="_Toc99015383" w:history="1">
        <w:r>
          <w:rPr>
            <w:rStyle w:val="afa"/>
            <w:rFonts w:eastAsia="Times New Roman"/>
            <w:noProof/>
            <w:lang w:eastAsia="ru-RU"/>
          </w:rPr>
          <w:t>Статья 40. СП-4. Зона зелёных насаждений специального назначения.</w:t>
        </w:r>
        <w:r>
          <w:rPr>
            <w:noProof/>
            <w:webHidden/>
          </w:rPr>
          <w:tab/>
        </w:r>
        <w:r>
          <w:rPr>
            <w:noProof/>
            <w:webHidden/>
          </w:rPr>
          <w:fldChar w:fldCharType="begin"/>
        </w:r>
        <w:r>
          <w:rPr>
            <w:noProof/>
            <w:webHidden/>
          </w:rPr>
          <w:instrText xml:space="preserve"> PAGEREF _Toc99015383 \h </w:instrText>
        </w:r>
        <w:r>
          <w:rPr>
            <w:noProof/>
            <w:webHidden/>
          </w:rPr>
        </w:r>
        <w:r>
          <w:rPr>
            <w:noProof/>
            <w:webHidden/>
          </w:rPr>
          <w:fldChar w:fldCharType="separate"/>
        </w:r>
        <w:r>
          <w:rPr>
            <w:noProof/>
            <w:webHidden/>
          </w:rPr>
          <w:t>125</w:t>
        </w:r>
        <w:r>
          <w:rPr>
            <w:noProof/>
            <w:webHidden/>
          </w:rPr>
          <w:fldChar w:fldCharType="end"/>
        </w:r>
      </w:hyperlink>
    </w:p>
    <w:p>
      <w:pPr>
        <w:pStyle w:val="31"/>
        <w:rPr>
          <w:rFonts w:asciiTheme="minorHAnsi" w:eastAsiaTheme="minorEastAsia" w:hAnsiTheme="minorHAnsi"/>
          <w:noProof/>
          <w:sz w:val="22"/>
          <w:lang w:eastAsia="ru-RU"/>
        </w:rPr>
      </w:pPr>
      <w:hyperlink w:anchor="_Toc99015384" w:history="1">
        <w:r>
          <w:rPr>
            <w:rStyle w:val="afa"/>
            <w:rFonts w:eastAsia="Times New Roman"/>
            <w:noProof/>
            <w:lang w:eastAsia="ru-RU"/>
          </w:rPr>
          <w:t>Статья 41. СП-5. Научно-производственная зона.</w:t>
        </w:r>
        <w:r>
          <w:rPr>
            <w:noProof/>
            <w:webHidden/>
          </w:rPr>
          <w:tab/>
        </w:r>
        <w:r>
          <w:rPr>
            <w:noProof/>
            <w:webHidden/>
          </w:rPr>
          <w:fldChar w:fldCharType="begin"/>
        </w:r>
        <w:r>
          <w:rPr>
            <w:noProof/>
            <w:webHidden/>
          </w:rPr>
          <w:instrText xml:space="preserve"> PAGEREF _Toc99015384 \h </w:instrText>
        </w:r>
        <w:r>
          <w:rPr>
            <w:noProof/>
            <w:webHidden/>
          </w:rPr>
        </w:r>
        <w:r>
          <w:rPr>
            <w:noProof/>
            <w:webHidden/>
          </w:rPr>
          <w:fldChar w:fldCharType="separate"/>
        </w:r>
        <w:r>
          <w:rPr>
            <w:noProof/>
            <w:webHidden/>
          </w:rPr>
          <w:t>128</w:t>
        </w:r>
        <w:r>
          <w:rPr>
            <w:noProof/>
            <w:webHidden/>
          </w:rPr>
          <w:fldChar w:fldCharType="end"/>
        </w:r>
      </w:hyperlink>
    </w:p>
    <w:p>
      <w:pPr>
        <w:pStyle w:val="31"/>
        <w:rPr>
          <w:rFonts w:asciiTheme="minorHAnsi" w:eastAsiaTheme="minorEastAsia" w:hAnsiTheme="minorHAnsi"/>
          <w:noProof/>
          <w:sz w:val="22"/>
          <w:lang w:eastAsia="ru-RU"/>
        </w:rPr>
      </w:pPr>
      <w:hyperlink w:anchor="_Toc99015385" w:history="1">
        <w:r>
          <w:rPr>
            <w:rStyle w:val="afa"/>
            <w:rFonts w:eastAsia="Times New Roman"/>
            <w:noProof/>
            <w:lang w:eastAsia="ru-RU"/>
          </w:rPr>
          <w:t>Статья 42. ТОП. Территория общего пользования (зона природного ландшафта)</w:t>
        </w:r>
        <w:r>
          <w:rPr>
            <w:noProof/>
            <w:webHidden/>
          </w:rPr>
          <w:tab/>
        </w:r>
        <w:r>
          <w:rPr>
            <w:noProof/>
            <w:webHidden/>
          </w:rPr>
          <w:fldChar w:fldCharType="begin"/>
        </w:r>
        <w:r>
          <w:rPr>
            <w:noProof/>
            <w:webHidden/>
          </w:rPr>
          <w:instrText xml:space="preserve"> PAGEREF _Toc99015385 \h </w:instrText>
        </w:r>
        <w:r>
          <w:rPr>
            <w:noProof/>
            <w:webHidden/>
          </w:rPr>
        </w:r>
        <w:r>
          <w:rPr>
            <w:noProof/>
            <w:webHidden/>
          </w:rPr>
          <w:fldChar w:fldCharType="separate"/>
        </w:r>
        <w:r>
          <w:rPr>
            <w:noProof/>
            <w:webHidden/>
          </w:rPr>
          <w:t>129</w:t>
        </w:r>
        <w:r>
          <w:rPr>
            <w:noProof/>
            <w:webHidden/>
          </w:rPr>
          <w:fldChar w:fldCharType="end"/>
        </w:r>
      </w:hyperlink>
    </w:p>
    <w:p>
      <w:pPr>
        <w:pStyle w:val="21"/>
        <w:tabs>
          <w:tab w:val="right" w:leader="dot" w:pos="10195"/>
        </w:tabs>
        <w:rPr>
          <w:rFonts w:asciiTheme="minorHAnsi" w:eastAsiaTheme="minorEastAsia" w:hAnsiTheme="minorHAnsi"/>
          <w:noProof/>
          <w:sz w:val="22"/>
          <w:lang w:eastAsia="ru-RU"/>
        </w:rPr>
      </w:pPr>
      <w:hyperlink w:anchor="_Toc99015386" w:history="1">
        <w:r>
          <w:rPr>
            <w:rStyle w:val="afa"/>
            <w:noProof/>
          </w:rPr>
          <w:t>ГЛАВА 8. Регулирование землепользования и застройки в зонах с особыми условиями использования территорий</w:t>
        </w:r>
        <w:r>
          <w:rPr>
            <w:noProof/>
            <w:webHidden/>
          </w:rPr>
          <w:tab/>
        </w:r>
        <w:r>
          <w:rPr>
            <w:noProof/>
            <w:webHidden/>
          </w:rPr>
          <w:fldChar w:fldCharType="begin"/>
        </w:r>
        <w:r>
          <w:rPr>
            <w:noProof/>
            <w:webHidden/>
          </w:rPr>
          <w:instrText xml:space="preserve"> PAGEREF _Toc99015386 \h </w:instrText>
        </w:r>
        <w:r>
          <w:rPr>
            <w:noProof/>
            <w:webHidden/>
          </w:rPr>
        </w:r>
        <w:r>
          <w:rPr>
            <w:noProof/>
            <w:webHidden/>
          </w:rPr>
          <w:fldChar w:fldCharType="separate"/>
        </w:r>
        <w:r>
          <w:rPr>
            <w:noProof/>
            <w:webHidden/>
          </w:rPr>
          <w:t>131</w:t>
        </w:r>
        <w:r>
          <w:rPr>
            <w:noProof/>
            <w:webHidden/>
          </w:rPr>
          <w:fldChar w:fldCharType="end"/>
        </w:r>
      </w:hyperlink>
    </w:p>
    <w:p>
      <w:pPr>
        <w:pStyle w:val="31"/>
        <w:rPr>
          <w:rFonts w:asciiTheme="minorHAnsi" w:eastAsiaTheme="minorEastAsia" w:hAnsiTheme="minorHAnsi"/>
          <w:noProof/>
          <w:sz w:val="22"/>
          <w:lang w:eastAsia="ru-RU"/>
        </w:rPr>
      </w:pPr>
      <w:hyperlink w:anchor="_Toc99015387" w:history="1">
        <w:r>
          <w:rPr>
            <w:rStyle w:val="afa"/>
            <w:rFonts w:eastAsia="Times New Roman"/>
            <w:noProof/>
            <w:lang w:eastAsia="ru-RU"/>
          </w:rPr>
          <w:t>Статья 43. Состав зон с особыми условиями использования территорий (ограничений градостроительной деятельности)</w:t>
        </w:r>
        <w:r>
          <w:rPr>
            <w:noProof/>
            <w:webHidden/>
          </w:rPr>
          <w:tab/>
        </w:r>
        <w:r>
          <w:rPr>
            <w:noProof/>
            <w:webHidden/>
          </w:rPr>
          <w:fldChar w:fldCharType="begin"/>
        </w:r>
        <w:r>
          <w:rPr>
            <w:noProof/>
            <w:webHidden/>
          </w:rPr>
          <w:instrText xml:space="preserve"> PAGEREF _Toc99015387 \h </w:instrText>
        </w:r>
        <w:r>
          <w:rPr>
            <w:noProof/>
            <w:webHidden/>
          </w:rPr>
        </w:r>
        <w:r>
          <w:rPr>
            <w:noProof/>
            <w:webHidden/>
          </w:rPr>
          <w:fldChar w:fldCharType="separate"/>
        </w:r>
        <w:r>
          <w:rPr>
            <w:noProof/>
            <w:webHidden/>
          </w:rPr>
          <w:t>131</w:t>
        </w:r>
        <w:r>
          <w:rPr>
            <w:noProof/>
            <w:webHidden/>
          </w:rPr>
          <w:fldChar w:fldCharType="end"/>
        </w:r>
      </w:hyperlink>
    </w:p>
    <w:p>
      <w:pPr>
        <w:pStyle w:val="31"/>
        <w:rPr>
          <w:rFonts w:asciiTheme="minorHAnsi" w:eastAsiaTheme="minorEastAsia" w:hAnsiTheme="minorHAnsi"/>
          <w:noProof/>
          <w:sz w:val="22"/>
          <w:lang w:eastAsia="ru-RU"/>
        </w:rPr>
      </w:pPr>
      <w:hyperlink w:anchor="_Toc99015388" w:history="1">
        <w:r>
          <w:rPr>
            <w:rStyle w:val="afa"/>
            <w:rFonts w:eastAsia="Times New Roman"/>
            <w:noProof/>
            <w:lang w:eastAsia="ru-RU"/>
          </w:rPr>
          <w:t>Статья 44. Ограничения использования земельных участков и объектов капитального строительства на территории в границах водоохранных и рыбоохранных зон, прибрежных защитных полос водных объектов</w:t>
        </w:r>
        <w:r>
          <w:rPr>
            <w:noProof/>
            <w:webHidden/>
          </w:rPr>
          <w:tab/>
        </w:r>
        <w:r>
          <w:rPr>
            <w:noProof/>
            <w:webHidden/>
          </w:rPr>
          <w:fldChar w:fldCharType="begin"/>
        </w:r>
        <w:r>
          <w:rPr>
            <w:noProof/>
            <w:webHidden/>
          </w:rPr>
          <w:instrText xml:space="preserve"> PAGEREF _Toc99015388 \h </w:instrText>
        </w:r>
        <w:r>
          <w:rPr>
            <w:noProof/>
            <w:webHidden/>
          </w:rPr>
        </w:r>
        <w:r>
          <w:rPr>
            <w:noProof/>
            <w:webHidden/>
          </w:rPr>
          <w:fldChar w:fldCharType="separate"/>
        </w:r>
        <w:r>
          <w:rPr>
            <w:noProof/>
            <w:webHidden/>
          </w:rPr>
          <w:t>131</w:t>
        </w:r>
        <w:r>
          <w:rPr>
            <w:noProof/>
            <w:webHidden/>
          </w:rPr>
          <w:fldChar w:fldCharType="end"/>
        </w:r>
      </w:hyperlink>
    </w:p>
    <w:p>
      <w:pPr>
        <w:pStyle w:val="31"/>
        <w:rPr>
          <w:rFonts w:asciiTheme="minorHAnsi" w:eastAsiaTheme="minorEastAsia" w:hAnsiTheme="minorHAnsi"/>
          <w:noProof/>
          <w:sz w:val="22"/>
          <w:lang w:eastAsia="ru-RU"/>
        </w:rPr>
      </w:pPr>
      <w:hyperlink w:anchor="_Toc99015389" w:history="1">
        <w:r>
          <w:rPr>
            <w:rStyle w:val="afa"/>
            <w:rFonts w:eastAsia="Times New Roman"/>
            <w:noProof/>
            <w:lang w:eastAsia="ru-RU"/>
          </w:rPr>
          <w:t>Статья 45. Ограничения использования земельных участков и объектов капитального строительства на территории береговой полосы водных объектов общего пользования</w:t>
        </w:r>
        <w:r>
          <w:rPr>
            <w:noProof/>
            <w:webHidden/>
          </w:rPr>
          <w:tab/>
        </w:r>
        <w:r>
          <w:rPr>
            <w:noProof/>
            <w:webHidden/>
          </w:rPr>
          <w:fldChar w:fldCharType="begin"/>
        </w:r>
        <w:r>
          <w:rPr>
            <w:noProof/>
            <w:webHidden/>
          </w:rPr>
          <w:instrText xml:space="preserve"> PAGEREF _Toc99015389 \h </w:instrText>
        </w:r>
        <w:r>
          <w:rPr>
            <w:noProof/>
            <w:webHidden/>
          </w:rPr>
        </w:r>
        <w:r>
          <w:rPr>
            <w:noProof/>
            <w:webHidden/>
          </w:rPr>
          <w:fldChar w:fldCharType="separate"/>
        </w:r>
        <w:r>
          <w:rPr>
            <w:noProof/>
            <w:webHidden/>
          </w:rPr>
          <w:t>133</w:t>
        </w:r>
        <w:r>
          <w:rPr>
            <w:noProof/>
            <w:webHidden/>
          </w:rPr>
          <w:fldChar w:fldCharType="end"/>
        </w:r>
      </w:hyperlink>
    </w:p>
    <w:p>
      <w:pPr>
        <w:pStyle w:val="31"/>
        <w:rPr>
          <w:rFonts w:asciiTheme="minorHAnsi" w:eastAsiaTheme="minorEastAsia" w:hAnsiTheme="minorHAnsi"/>
          <w:noProof/>
          <w:sz w:val="22"/>
          <w:lang w:eastAsia="ru-RU"/>
        </w:rPr>
      </w:pPr>
      <w:hyperlink w:anchor="_Toc99015390" w:history="1">
        <w:r>
          <w:rPr>
            <w:rStyle w:val="afa"/>
            <w:rFonts w:eastAsia="Times New Roman"/>
            <w:noProof/>
            <w:lang w:eastAsia="ru-RU"/>
          </w:rPr>
          <w:t>Статья 46. Ограничения использования земельных участков и объектов капитального строительства на территории в границах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_Toc99015390 \h </w:instrText>
        </w:r>
        <w:r>
          <w:rPr>
            <w:noProof/>
            <w:webHidden/>
          </w:rPr>
        </w:r>
        <w:r>
          <w:rPr>
            <w:noProof/>
            <w:webHidden/>
          </w:rPr>
          <w:fldChar w:fldCharType="separate"/>
        </w:r>
        <w:r>
          <w:rPr>
            <w:noProof/>
            <w:webHidden/>
          </w:rPr>
          <w:t>134</w:t>
        </w:r>
        <w:r>
          <w:rPr>
            <w:noProof/>
            <w:webHidden/>
          </w:rPr>
          <w:fldChar w:fldCharType="end"/>
        </w:r>
      </w:hyperlink>
    </w:p>
    <w:p>
      <w:pPr>
        <w:pStyle w:val="31"/>
        <w:rPr>
          <w:rFonts w:asciiTheme="minorHAnsi" w:eastAsiaTheme="minorEastAsia" w:hAnsiTheme="minorHAnsi"/>
          <w:noProof/>
          <w:sz w:val="22"/>
          <w:lang w:eastAsia="ru-RU"/>
        </w:rPr>
      </w:pPr>
      <w:hyperlink w:anchor="_Toc99015391" w:history="1">
        <w:r>
          <w:rPr>
            <w:rStyle w:val="afa"/>
            <w:rFonts w:eastAsia="Times New Roman"/>
            <w:noProof/>
            <w:lang w:eastAsia="ru-RU"/>
          </w:rPr>
          <w:t>Статья 47. Ограничения использования земельных участков и объектов капитального строительства на территории в границах охранной зоны водопроводных сооружений</w:t>
        </w:r>
        <w:r>
          <w:rPr>
            <w:noProof/>
            <w:webHidden/>
          </w:rPr>
          <w:tab/>
        </w:r>
        <w:r>
          <w:rPr>
            <w:noProof/>
            <w:webHidden/>
          </w:rPr>
          <w:fldChar w:fldCharType="begin"/>
        </w:r>
        <w:r>
          <w:rPr>
            <w:noProof/>
            <w:webHidden/>
          </w:rPr>
          <w:instrText xml:space="preserve"> PAGEREF _Toc99015391 \h </w:instrText>
        </w:r>
        <w:r>
          <w:rPr>
            <w:noProof/>
            <w:webHidden/>
          </w:rPr>
        </w:r>
        <w:r>
          <w:rPr>
            <w:noProof/>
            <w:webHidden/>
          </w:rPr>
          <w:fldChar w:fldCharType="separate"/>
        </w:r>
        <w:r>
          <w:rPr>
            <w:noProof/>
            <w:webHidden/>
          </w:rPr>
          <w:t>135</w:t>
        </w:r>
        <w:r>
          <w:rPr>
            <w:noProof/>
            <w:webHidden/>
          </w:rPr>
          <w:fldChar w:fldCharType="end"/>
        </w:r>
      </w:hyperlink>
    </w:p>
    <w:p>
      <w:pPr>
        <w:pStyle w:val="31"/>
        <w:rPr>
          <w:rFonts w:asciiTheme="minorHAnsi" w:eastAsiaTheme="minorEastAsia" w:hAnsiTheme="minorHAnsi"/>
          <w:noProof/>
          <w:sz w:val="22"/>
          <w:lang w:eastAsia="ru-RU"/>
        </w:rPr>
      </w:pPr>
      <w:hyperlink w:anchor="_Toc99015392" w:history="1">
        <w:r>
          <w:rPr>
            <w:rStyle w:val="afa"/>
            <w:rFonts w:eastAsia="Times New Roman"/>
            <w:noProof/>
            <w:lang w:eastAsia="ru-RU"/>
          </w:rPr>
          <w:t>Статья 48. Ограничения использования земельных участков и объектов капитального строительства на территории зон затопления, подтопления</w:t>
        </w:r>
        <w:r>
          <w:rPr>
            <w:noProof/>
            <w:webHidden/>
          </w:rPr>
          <w:tab/>
        </w:r>
        <w:r>
          <w:rPr>
            <w:noProof/>
            <w:webHidden/>
          </w:rPr>
          <w:fldChar w:fldCharType="begin"/>
        </w:r>
        <w:r>
          <w:rPr>
            <w:noProof/>
            <w:webHidden/>
          </w:rPr>
          <w:instrText xml:space="preserve"> PAGEREF _Toc99015392 \h </w:instrText>
        </w:r>
        <w:r>
          <w:rPr>
            <w:noProof/>
            <w:webHidden/>
          </w:rPr>
        </w:r>
        <w:r>
          <w:rPr>
            <w:noProof/>
            <w:webHidden/>
          </w:rPr>
          <w:fldChar w:fldCharType="separate"/>
        </w:r>
        <w:r>
          <w:rPr>
            <w:noProof/>
            <w:webHidden/>
          </w:rPr>
          <w:t>135</w:t>
        </w:r>
        <w:r>
          <w:rPr>
            <w:noProof/>
            <w:webHidden/>
          </w:rPr>
          <w:fldChar w:fldCharType="end"/>
        </w:r>
      </w:hyperlink>
    </w:p>
    <w:p>
      <w:pPr>
        <w:pStyle w:val="31"/>
        <w:rPr>
          <w:rFonts w:asciiTheme="minorHAnsi" w:eastAsiaTheme="minorEastAsia" w:hAnsiTheme="minorHAnsi"/>
          <w:noProof/>
          <w:sz w:val="22"/>
          <w:lang w:eastAsia="ru-RU"/>
        </w:rPr>
      </w:pPr>
      <w:hyperlink w:anchor="_Toc99015393" w:history="1">
        <w:r>
          <w:rPr>
            <w:rStyle w:val="afa"/>
            <w:rFonts w:eastAsia="Times New Roman"/>
            <w:noProof/>
            <w:lang w:eastAsia="ru-RU"/>
          </w:rPr>
          <w:t>Статья 49. Ограничения использования земельных участков и объектов капитального строительства в зонах охраны объектов электросетевого хозяйства</w:t>
        </w:r>
        <w:r>
          <w:rPr>
            <w:noProof/>
            <w:webHidden/>
          </w:rPr>
          <w:tab/>
        </w:r>
        <w:r>
          <w:rPr>
            <w:noProof/>
            <w:webHidden/>
          </w:rPr>
          <w:fldChar w:fldCharType="begin"/>
        </w:r>
        <w:r>
          <w:rPr>
            <w:noProof/>
            <w:webHidden/>
          </w:rPr>
          <w:instrText xml:space="preserve"> PAGEREF _Toc99015393 \h </w:instrText>
        </w:r>
        <w:r>
          <w:rPr>
            <w:noProof/>
            <w:webHidden/>
          </w:rPr>
        </w:r>
        <w:r>
          <w:rPr>
            <w:noProof/>
            <w:webHidden/>
          </w:rPr>
          <w:fldChar w:fldCharType="separate"/>
        </w:r>
        <w:r>
          <w:rPr>
            <w:noProof/>
            <w:webHidden/>
          </w:rPr>
          <w:t>137</w:t>
        </w:r>
        <w:r>
          <w:rPr>
            <w:noProof/>
            <w:webHidden/>
          </w:rPr>
          <w:fldChar w:fldCharType="end"/>
        </w:r>
      </w:hyperlink>
    </w:p>
    <w:p>
      <w:pPr>
        <w:pStyle w:val="31"/>
        <w:rPr>
          <w:rFonts w:asciiTheme="minorHAnsi" w:eastAsiaTheme="minorEastAsia" w:hAnsiTheme="minorHAnsi"/>
          <w:noProof/>
          <w:sz w:val="22"/>
          <w:lang w:eastAsia="ru-RU"/>
        </w:rPr>
      </w:pPr>
      <w:hyperlink w:anchor="_Toc99015394" w:history="1">
        <w:r>
          <w:rPr>
            <w:rStyle w:val="afa"/>
            <w:rFonts w:eastAsia="Times New Roman"/>
            <w:noProof/>
            <w:lang w:eastAsia="ru-RU"/>
          </w:rPr>
          <w:t>Статья 50. Ограничения использования земельных участков и объектов капитального строительства на территории в границах охранной зоны гидрометеорологической станции</w:t>
        </w:r>
        <w:r>
          <w:rPr>
            <w:noProof/>
            <w:webHidden/>
          </w:rPr>
          <w:tab/>
        </w:r>
        <w:r>
          <w:rPr>
            <w:noProof/>
            <w:webHidden/>
          </w:rPr>
          <w:fldChar w:fldCharType="begin"/>
        </w:r>
        <w:r>
          <w:rPr>
            <w:noProof/>
            <w:webHidden/>
          </w:rPr>
          <w:instrText xml:space="preserve"> PAGEREF _Toc99015394 \h </w:instrText>
        </w:r>
        <w:r>
          <w:rPr>
            <w:noProof/>
            <w:webHidden/>
          </w:rPr>
        </w:r>
        <w:r>
          <w:rPr>
            <w:noProof/>
            <w:webHidden/>
          </w:rPr>
          <w:fldChar w:fldCharType="separate"/>
        </w:r>
        <w:r>
          <w:rPr>
            <w:noProof/>
            <w:webHidden/>
          </w:rPr>
          <w:t>139</w:t>
        </w:r>
        <w:r>
          <w:rPr>
            <w:noProof/>
            <w:webHidden/>
          </w:rPr>
          <w:fldChar w:fldCharType="end"/>
        </w:r>
      </w:hyperlink>
    </w:p>
    <w:p>
      <w:pPr>
        <w:pStyle w:val="31"/>
        <w:rPr>
          <w:rFonts w:asciiTheme="minorHAnsi" w:eastAsiaTheme="minorEastAsia" w:hAnsiTheme="minorHAnsi"/>
          <w:noProof/>
          <w:sz w:val="22"/>
          <w:lang w:eastAsia="ru-RU"/>
        </w:rPr>
      </w:pPr>
      <w:hyperlink w:anchor="_Toc99015395" w:history="1">
        <w:r>
          <w:rPr>
            <w:rStyle w:val="afa"/>
            <w:rFonts w:eastAsia="Times New Roman"/>
            <w:noProof/>
            <w:lang w:eastAsia="ru-RU"/>
          </w:rPr>
          <w:t>Статья 51. Ограничения использования земельных участков и объектов капитального строительства на территории в границах санитарно-защитных зон</w:t>
        </w:r>
        <w:r>
          <w:rPr>
            <w:noProof/>
            <w:webHidden/>
          </w:rPr>
          <w:tab/>
        </w:r>
        <w:r>
          <w:rPr>
            <w:noProof/>
            <w:webHidden/>
          </w:rPr>
          <w:fldChar w:fldCharType="begin"/>
        </w:r>
        <w:r>
          <w:rPr>
            <w:noProof/>
            <w:webHidden/>
          </w:rPr>
          <w:instrText xml:space="preserve"> PAGEREF _Toc99015395 \h </w:instrText>
        </w:r>
        <w:r>
          <w:rPr>
            <w:noProof/>
            <w:webHidden/>
          </w:rPr>
        </w:r>
        <w:r>
          <w:rPr>
            <w:noProof/>
            <w:webHidden/>
          </w:rPr>
          <w:fldChar w:fldCharType="separate"/>
        </w:r>
        <w:r>
          <w:rPr>
            <w:noProof/>
            <w:webHidden/>
          </w:rPr>
          <w:t>140</w:t>
        </w:r>
        <w:r>
          <w:rPr>
            <w:noProof/>
            <w:webHidden/>
          </w:rPr>
          <w:fldChar w:fldCharType="end"/>
        </w:r>
      </w:hyperlink>
    </w:p>
    <w:p>
      <w:pPr>
        <w:pStyle w:val="31"/>
        <w:rPr>
          <w:rFonts w:asciiTheme="minorHAnsi" w:eastAsiaTheme="minorEastAsia" w:hAnsiTheme="minorHAnsi"/>
          <w:noProof/>
          <w:sz w:val="22"/>
          <w:lang w:eastAsia="ru-RU"/>
        </w:rPr>
      </w:pPr>
      <w:hyperlink w:anchor="_Toc99015396" w:history="1">
        <w:r>
          <w:rPr>
            <w:rStyle w:val="afa"/>
            <w:rFonts w:eastAsia="Times New Roman"/>
            <w:noProof/>
            <w:lang w:eastAsia="ru-RU"/>
          </w:rPr>
          <w:t>Статья 52. Ограничения использования земельных участков и объектов капитального строительства на территории охранных зон трубопроводов</w:t>
        </w:r>
        <w:r>
          <w:rPr>
            <w:noProof/>
            <w:webHidden/>
          </w:rPr>
          <w:tab/>
        </w:r>
        <w:r>
          <w:rPr>
            <w:noProof/>
            <w:webHidden/>
          </w:rPr>
          <w:fldChar w:fldCharType="begin"/>
        </w:r>
        <w:r>
          <w:rPr>
            <w:noProof/>
            <w:webHidden/>
          </w:rPr>
          <w:instrText xml:space="preserve"> PAGEREF _Toc99015396 \h </w:instrText>
        </w:r>
        <w:r>
          <w:rPr>
            <w:noProof/>
            <w:webHidden/>
          </w:rPr>
        </w:r>
        <w:r>
          <w:rPr>
            <w:noProof/>
            <w:webHidden/>
          </w:rPr>
          <w:fldChar w:fldCharType="separate"/>
        </w:r>
        <w:r>
          <w:rPr>
            <w:noProof/>
            <w:webHidden/>
          </w:rPr>
          <w:t>142</w:t>
        </w:r>
        <w:r>
          <w:rPr>
            <w:noProof/>
            <w:webHidden/>
          </w:rPr>
          <w:fldChar w:fldCharType="end"/>
        </w:r>
      </w:hyperlink>
    </w:p>
    <w:p>
      <w:pPr>
        <w:pStyle w:val="31"/>
        <w:rPr>
          <w:rFonts w:asciiTheme="minorHAnsi" w:eastAsiaTheme="minorEastAsia" w:hAnsiTheme="minorHAnsi"/>
          <w:noProof/>
          <w:sz w:val="22"/>
          <w:lang w:eastAsia="ru-RU"/>
        </w:rPr>
      </w:pPr>
      <w:hyperlink w:anchor="_Toc99015397" w:history="1">
        <w:r>
          <w:rPr>
            <w:rStyle w:val="afa"/>
            <w:noProof/>
          </w:rPr>
          <w:t>Статья 53. Ограничения использования земельных участков и объектов капитального строительства на территории в границах охранных зон стационарных пунктов наблюдений за состоянием окружающей природной среды, ее загрязнением</w:t>
        </w:r>
        <w:r>
          <w:rPr>
            <w:noProof/>
            <w:webHidden/>
          </w:rPr>
          <w:tab/>
        </w:r>
        <w:r>
          <w:rPr>
            <w:noProof/>
            <w:webHidden/>
          </w:rPr>
          <w:fldChar w:fldCharType="begin"/>
        </w:r>
        <w:r>
          <w:rPr>
            <w:noProof/>
            <w:webHidden/>
          </w:rPr>
          <w:instrText xml:space="preserve"> PAGEREF _Toc99015397 \h </w:instrText>
        </w:r>
        <w:r>
          <w:rPr>
            <w:noProof/>
            <w:webHidden/>
          </w:rPr>
        </w:r>
        <w:r>
          <w:rPr>
            <w:noProof/>
            <w:webHidden/>
          </w:rPr>
          <w:fldChar w:fldCharType="separate"/>
        </w:r>
        <w:r>
          <w:rPr>
            <w:noProof/>
            <w:webHidden/>
          </w:rPr>
          <w:t>144</w:t>
        </w:r>
        <w:r>
          <w:rPr>
            <w:noProof/>
            <w:webHidden/>
          </w:rPr>
          <w:fldChar w:fldCharType="end"/>
        </w:r>
      </w:hyperlink>
    </w:p>
    <w:p>
      <w:pPr>
        <w:rPr>
          <w:rFonts w:ascii="Times New Roman" w:hAnsi="Times New Roman" w:cs="Times New Roman"/>
          <w:color w:val="000000" w:themeColor="text1"/>
          <w:sz w:val="24"/>
          <w:szCs w:val="24"/>
        </w:rPr>
      </w:pPr>
      <w:r>
        <w:fldChar w:fldCharType="end"/>
      </w:r>
    </w:p>
    <w:p>
      <w:pPr>
        <w:rPr>
          <w:rFonts w:ascii="Times New Roman" w:hAnsi="Times New Roman" w:cs="Times New Roman"/>
          <w:color w:val="000000" w:themeColor="text1"/>
          <w:sz w:val="24"/>
          <w:szCs w:val="24"/>
        </w:rPr>
      </w:pPr>
    </w:p>
    <w:p>
      <w:pPr>
        <w:rPr>
          <w:rFonts w:ascii="Times New Roman" w:hAnsi="Times New Roman" w:cs="Times New Roman"/>
          <w:color w:val="000000" w:themeColor="text1"/>
          <w:sz w:val="24"/>
          <w:szCs w:val="24"/>
        </w:rPr>
        <w:sectPr>
          <w:pgSz w:w="11906" w:h="16838"/>
          <w:pgMar w:top="1134" w:right="567" w:bottom="1134" w:left="1134" w:header="708" w:footer="708" w:gutter="0"/>
          <w:cols w:space="708"/>
          <w:docGrid w:linePitch="360"/>
        </w:sectPr>
      </w:pPr>
    </w:p>
    <w:p>
      <w:pPr>
        <w:pStyle w:val="12"/>
        <w:rPr>
          <w:rFonts w:cs="Times New Roman"/>
        </w:rPr>
      </w:pPr>
      <w:bookmarkStart w:id="1" w:name="_Toc80780307"/>
      <w:bookmarkStart w:id="2" w:name="_Toc99015332"/>
      <w:r>
        <w:rPr>
          <w:rFonts w:cs="Times New Roman"/>
        </w:rPr>
        <w:lastRenderedPageBreak/>
        <w:t>Состав проекта</w:t>
      </w:r>
      <w:bookmarkEnd w:id="1"/>
      <w:bookmarkEnd w:id="2"/>
    </w:p>
    <w:p>
      <w:pPr>
        <w:pStyle w:val="000"/>
        <w:spacing w:line="276" w:lineRule="auto"/>
        <w:ind w:firstLine="0"/>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4961"/>
        <w:gridCol w:w="758"/>
        <w:gridCol w:w="1936"/>
        <w:gridCol w:w="1324"/>
      </w:tblGrid>
      <w:tr>
        <w:trPr>
          <w:tblHeader/>
          <w:jc w:val="center"/>
        </w:trPr>
        <w:tc>
          <w:tcPr>
            <w:tcW w:w="797" w:type="dxa"/>
            <w:tcBorders>
              <w:top w:val="single" w:sz="4" w:space="0" w:color="auto"/>
              <w:left w:val="single" w:sz="4" w:space="0" w:color="auto"/>
              <w:bottom w:val="single" w:sz="4" w:space="0" w:color="auto"/>
              <w:right w:val="single" w:sz="4" w:space="0" w:color="auto"/>
            </w:tcBorders>
            <w:shd w:val="clear" w:color="auto" w:fill="FFC000"/>
            <w:vAlign w:val="center"/>
          </w:tcPr>
          <w:p>
            <w:pPr>
              <w:pStyle w:val="1b"/>
              <w:jc w:val="center"/>
              <w:rPr>
                <w:b/>
              </w:rPr>
            </w:pPr>
            <w:r>
              <w:rPr>
                <w:b/>
              </w:rPr>
              <w:t>№ п/п</w:t>
            </w:r>
          </w:p>
        </w:tc>
        <w:tc>
          <w:tcPr>
            <w:tcW w:w="4961" w:type="dxa"/>
            <w:tcBorders>
              <w:top w:val="single" w:sz="4" w:space="0" w:color="auto"/>
              <w:left w:val="single" w:sz="4" w:space="0" w:color="auto"/>
              <w:bottom w:val="single" w:sz="4" w:space="0" w:color="auto"/>
              <w:right w:val="single" w:sz="4" w:space="0" w:color="auto"/>
            </w:tcBorders>
            <w:shd w:val="clear" w:color="auto" w:fill="FFC000"/>
            <w:vAlign w:val="center"/>
          </w:tcPr>
          <w:p>
            <w:pPr>
              <w:pStyle w:val="1b"/>
              <w:jc w:val="center"/>
              <w:rPr>
                <w:b/>
              </w:rPr>
            </w:pPr>
            <w:r>
              <w:rPr>
                <w:b/>
              </w:rPr>
              <w:t>Наименование документации</w:t>
            </w:r>
          </w:p>
        </w:tc>
        <w:tc>
          <w:tcPr>
            <w:tcW w:w="758" w:type="dxa"/>
            <w:tcBorders>
              <w:top w:val="single" w:sz="4" w:space="0" w:color="auto"/>
              <w:left w:val="single" w:sz="4" w:space="0" w:color="auto"/>
              <w:bottom w:val="single" w:sz="4" w:space="0" w:color="auto"/>
              <w:right w:val="single" w:sz="4" w:space="0" w:color="auto"/>
            </w:tcBorders>
            <w:shd w:val="clear" w:color="auto" w:fill="FFC000"/>
            <w:vAlign w:val="center"/>
          </w:tcPr>
          <w:p>
            <w:pPr>
              <w:pStyle w:val="1b"/>
              <w:jc w:val="center"/>
              <w:rPr>
                <w:b/>
              </w:rPr>
            </w:pPr>
            <w:r>
              <w:rPr>
                <w:b/>
              </w:rPr>
              <w:t>Гриф</w:t>
            </w:r>
          </w:p>
        </w:tc>
        <w:tc>
          <w:tcPr>
            <w:tcW w:w="1936" w:type="dxa"/>
            <w:tcBorders>
              <w:top w:val="single" w:sz="4" w:space="0" w:color="auto"/>
              <w:left w:val="single" w:sz="4" w:space="0" w:color="auto"/>
              <w:bottom w:val="single" w:sz="4" w:space="0" w:color="auto"/>
              <w:right w:val="single" w:sz="4" w:space="0" w:color="auto"/>
            </w:tcBorders>
            <w:shd w:val="clear" w:color="auto" w:fill="FFC000"/>
            <w:vAlign w:val="center"/>
          </w:tcPr>
          <w:p>
            <w:pPr>
              <w:pStyle w:val="1b"/>
              <w:jc w:val="center"/>
              <w:rPr>
                <w:b/>
              </w:rPr>
            </w:pPr>
            <w:r>
              <w:rPr>
                <w:b/>
              </w:rPr>
              <w:t>Инв. №</w:t>
            </w:r>
          </w:p>
        </w:tc>
        <w:tc>
          <w:tcPr>
            <w:tcW w:w="1324" w:type="dxa"/>
            <w:tcBorders>
              <w:top w:val="single" w:sz="4" w:space="0" w:color="auto"/>
              <w:left w:val="single" w:sz="4" w:space="0" w:color="auto"/>
              <w:bottom w:val="single" w:sz="4" w:space="0" w:color="auto"/>
              <w:right w:val="single" w:sz="4" w:space="0" w:color="auto"/>
            </w:tcBorders>
            <w:shd w:val="clear" w:color="auto" w:fill="FFC000"/>
            <w:vAlign w:val="center"/>
          </w:tcPr>
          <w:p>
            <w:pPr>
              <w:pStyle w:val="1b"/>
              <w:jc w:val="center"/>
              <w:rPr>
                <w:b/>
              </w:rPr>
            </w:pPr>
            <w:r>
              <w:rPr>
                <w:b/>
              </w:rPr>
              <w:t>Масштаб</w:t>
            </w:r>
          </w:p>
        </w:tc>
      </w:tr>
      <w:tr>
        <w:trPr>
          <w:trHeight w:val="459"/>
          <w:jc w:val="center"/>
        </w:trPr>
        <w:tc>
          <w:tcPr>
            <w:tcW w:w="9776" w:type="dxa"/>
            <w:gridSpan w:val="5"/>
            <w:tcBorders>
              <w:top w:val="single" w:sz="4" w:space="0" w:color="auto"/>
              <w:left w:val="single" w:sz="4" w:space="0" w:color="auto"/>
              <w:right w:val="single" w:sz="4" w:space="0" w:color="auto"/>
            </w:tcBorders>
            <w:vAlign w:val="center"/>
          </w:tcPr>
          <w:p>
            <w:pPr>
              <w:pStyle w:val="1b"/>
              <w:jc w:val="center"/>
              <w:rPr>
                <w:b/>
              </w:rPr>
            </w:pPr>
            <w:r>
              <w:rPr>
                <w:b/>
              </w:rPr>
              <w:t xml:space="preserve">Проект внесения изменений в правила землепользования и застройки </w:t>
            </w:r>
          </w:p>
          <w:p>
            <w:pPr>
              <w:pStyle w:val="1b"/>
              <w:jc w:val="center"/>
              <w:rPr>
                <w:b/>
              </w:rPr>
            </w:pPr>
            <w:r>
              <w:rPr>
                <w:b/>
              </w:rPr>
              <w:t>городского округа Анадырь</w:t>
            </w:r>
          </w:p>
        </w:tc>
      </w:tr>
      <w:tr>
        <w:trPr>
          <w:jc w:val="center"/>
        </w:trPr>
        <w:tc>
          <w:tcPr>
            <w:tcW w:w="9776" w:type="dxa"/>
            <w:gridSpan w:val="5"/>
            <w:tcBorders>
              <w:top w:val="single" w:sz="4" w:space="0" w:color="auto"/>
              <w:left w:val="single" w:sz="4" w:space="0" w:color="auto"/>
              <w:bottom w:val="single" w:sz="4" w:space="0" w:color="auto"/>
              <w:right w:val="single" w:sz="4" w:space="0" w:color="auto"/>
            </w:tcBorders>
          </w:tcPr>
          <w:p>
            <w:pPr>
              <w:pStyle w:val="1b"/>
              <w:jc w:val="center"/>
              <w:rPr>
                <w:b/>
              </w:rPr>
            </w:pPr>
            <w:r>
              <w:rPr>
                <w:b/>
              </w:rPr>
              <w:t>Состав</w:t>
            </w:r>
          </w:p>
        </w:tc>
      </w:tr>
      <w:tr>
        <w:trPr>
          <w:jc w:val="center"/>
        </w:trPr>
        <w:tc>
          <w:tcPr>
            <w:tcW w:w="797" w:type="dxa"/>
            <w:tcBorders>
              <w:top w:val="single" w:sz="4" w:space="0" w:color="auto"/>
              <w:left w:val="single" w:sz="4" w:space="0" w:color="auto"/>
              <w:right w:val="single" w:sz="4" w:space="0" w:color="auto"/>
            </w:tcBorders>
          </w:tcPr>
          <w:p>
            <w:pPr>
              <w:pStyle w:val="1b"/>
            </w:pPr>
            <w:r>
              <w:t>1</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pPr>
              <w:pStyle w:val="1b"/>
              <w:rPr>
                <w:b/>
                <w:bCs/>
              </w:rPr>
            </w:pPr>
            <w:r>
              <w:rPr>
                <w:b/>
                <w:bCs/>
              </w:rPr>
              <w:t xml:space="preserve">Правила землепользования и застройки </w:t>
            </w:r>
          </w:p>
          <w:p>
            <w:pPr>
              <w:pStyle w:val="1b"/>
            </w:pPr>
            <w:r>
              <w:rPr>
                <w:b/>
                <w:bCs/>
              </w:rPr>
              <w:t>городского округа Анадырь</w:t>
            </w:r>
          </w:p>
        </w:tc>
        <w:tc>
          <w:tcPr>
            <w:tcW w:w="758" w:type="dxa"/>
            <w:tcBorders>
              <w:top w:val="single" w:sz="4" w:space="0" w:color="auto"/>
              <w:left w:val="single" w:sz="4" w:space="0" w:color="auto"/>
              <w:right w:val="single" w:sz="4" w:space="0" w:color="auto"/>
            </w:tcBorders>
            <w:vAlign w:val="center"/>
          </w:tcPr>
          <w:p>
            <w:pPr>
              <w:pStyle w:val="1b"/>
            </w:pPr>
          </w:p>
        </w:tc>
        <w:tc>
          <w:tcPr>
            <w:tcW w:w="1936" w:type="dxa"/>
            <w:tcBorders>
              <w:top w:val="single" w:sz="4" w:space="0" w:color="auto"/>
              <w:left w:val="single" w:sz="4" w:space="0" w:color="auto"/>
              <w:right w:val="single" w:sz="4" w:space="0" w:color="auto"/>
            </w:tcBorders>
            <w:vAlign w:val="center"/>
          </w:tcPr>
          <w:p>
            <w:pPr>
              <w:pStyle w:val="1b"/>
            </w:pPr>
            <w:r>
              <w:t>183-01/ПЗЗ</w:t>
            </w:r>
          </w:p>
        </w:tc>
        <w:tc>
          <w:tcPr>
            <w:tcW w:w="1324" w:type="dxa"/>
            <w:tcBorders>
              <w:top w:val="single" w:sz="4" w:space="0" w:color="auto"/>
              <w:left w:val="single" w:sz="4" w:space="0" w:color="auto"/>
              <w:right w:val="single" w:sz="4" w:space="0" w:color="auto"/>
            </w:tcBorders>
            <w:vAlign w:val="center"/>
          </w:tcPr>
          <w:p>
            <w:pPr>
              <w:pStyle w:val="1b"/>
            </w:pPr>
            <w:r>
              <w:t>Б/М</w:t>
            </w:r>
          </w:p>
        </w:tc>
      </w:tr>
      <w:tr>
        <w:trPr>
          <w:jc w:val="center"/>
        </w:trPr>
        <w:tc>
          <w:tcPr>
            <w:tcW w:w="797" w:type="dxa"/>
            <w:tcBorders>
              <w:top w:val="single" w:sz="4" w:space="0" w:color="auto"/>
              <w:left w:val="single" w:sz="4" w:space="0" w:color="auto"/>
              <w:bottom w:val="single" w:sz="4" w:space="0" w:color="auto"/>
              <w:right w:val="single" w:sz="4" w:space="0" w:color="auto"/>
            </w:tcBorders>
          </w:tcPr>
          <w:p>
            <w:pPr>
              <w:pStyle w:val="1b"/>
            </w:pPr>
            <w:r>
              <w:t>2</w:t>
            </w:r>
          </w:p>
        </w:tc>
        <w:tc>
          <w:tcPr>
            <w:tcW w:w="4961" w:type="dxa"/>
            <w:tcBorders>
              <w:top w:val="single" w:sz="4" w:space="0" w:color="auto"/>
              <w:left w:val="single" w:sz="4" w:space="0" w:color="auto"/>
              <w:bottom w:val="single" w:sz="4" w:space="0" w:color="auto"/>
              <w:right w:val="single" w:sz="4" w:space="0" w:color="auto"/>
            </w:tcBorders>
            <w:shd w:val="clear" w:color="auto" w:fill="auto"/>
          </w:tcPr>
          <w:p>
            <w:pPr>
              <w:pStyle w:val="1b"/>
            </w:pPr>
            <w:r>
              <w:t>Карта градостроительного зонирования</w:t>
            </w:r>
          </w:p>
        </w:tc>
        <w:tc>
          <w:tcPr>
            <w:tcW w:w="758" w:type="dxa"/>
            <w:tcBorders>
              <w:top w:val="single" w:sz="4" w:space="0" w:color="auto"/>
              <w:left w:val="single" w:sz="4" w:space="0" w:color="auto"/>
              <w:bottom w:val="single" w:sz="4" w:space="0" w:color="auto"/>
              <w:right w:val="single" w:sz="4" w:space="0" w:color="auto"/>
            </w:tcBorders>
            <w:vAlign w:val="center"/>
          </w:tcPr>
          <w:p>
            <w:pPr>
              <w:pStyle w:val="1b"/>
            </w:pPr>
          </w:p>
        </w:tc>
        <w:tc>
          <w:tcPr>
            <w:tcW w:w="1936" w:type="dxa"/>
            <w:tcBorders>
              <w:top w:val="single" w:sz="4" w:space="0" w:color="auto"/>
              <w:left w:val="single" w:sz="4" w:space="0" w:color="auto"/>
              <w:bottom w:val="single" w:sz="4" w:space="0" w:color="auto"/>
              <w:right w:val="single" w:sz="4" w:space="0" w:color="auto"/>
            </w:tcBorders>
            <w:vAlign w:val="center"/>
          </w:tcPr>
          <w:p>
            <w:pPr>
              <w:pStyle w:val="1b"/>
            </w:pPr>
            <w:r>
              <w:t>183-01/ПЗЗ-1.1</w:t>
            </w:r>
          </w:p>
        </w:tc>
        <w:tc>
          <w:tcPr>
            <w:tcW w:w="1324" w:type="dxa"/>
            <w:tcBorders>
              <w:top w:val="single" w:sz="4" w:space="0" w:color="auto"/>
              <w:left w:val="single" w:sz="4" w:space="0" w:color="auto"/>
              <w:bottom w:val="single" w:sz="4" w:space="0" w:color="auto"/>
              <w:right w:val="single" w:sz="4" w:space="0" w:color="auto"/>
            </w:tcBorders>
            <w:vAlign w:val="center"/>
          </w:tcPr>
          <w:p>
            <w:pPr>
              <w:pStyle w:val="1b"/>
            </w:pPr>
            <w:r>
              <w:t>1:10 000</w:t>
            </w:r>
          </w:p>
        </w:tc>
      </w:tr>
      <w:tr>
        <w:trPr>
          <w:jc w:val="center"/>
        </w:trPr>
        <w:tc>
          <w:tcPr>
            <w:tcW w:w="797" w:type="dxa"/>
            <w:tcBorders>
              <w:top w:val="single" w:sz="4" w:space="0" w:color="auto"/>
              <w:left w:val="single" w:sz="4" w:space="0" w:color="auto"/>
              <w:bottom w:val="single" w:sz="4" w:space="0" w:color="auto"/>
              <w:right w:val="single" w:sz="4" w:space="0" w:color="auto"/>
            </w:tcBorders>
          </w:tcPr>
          <w:p>
            <w:pPr>
              <w:pStyle w:val="1b"/>
            </w:pPr>
            <w:r>
              <w:t>3</w:t>
            </w:r>
          </w:p>
        </w:tc>
        <w:tc>
          <w:tcPr>
            <w:tcW w:w="4961" w:type="dxa"/>
            <w:tcBorders>
              <w:top w:val="single" w:sz="4" w:space="0" w:color="auto"/>
              <w:left w:val="single" w:sz="4" w:space="0" w:color="auto"/>
              <w:bottom w:val="single" w:sz="4" w:space="0" w:color="auto"/>
              <w:right w:val="single" w:sz="4" w:space="0" w:color="auto"/>
            </w:tcBorders>
            <w:shd w:val="clear" w:color="auto" w:fill="auto"/>
          </w:tcPr>
          <w:p>
            <w:pPr>
              <w:spacing w:line="240" w:lineRule="auto"/>
              <w:rPr>
                <w:rFonts w:ascii="Times New Roman" w:hAnsi="Times New Roman" w:cs="Times New Roman"/>
                <w:sz w:val="20"/>
                <w:szCs w:val="20"/>
              </w:rPr>
            </w:pPr>
            <w:r>
              <w:rPr>
                <w:rFonts w:ascii="Times New Roman" w:hAnsi="Times New Roman" w:cs="Times New Roman"/>
                <w:sz w:val="20"/>
                <w:szCs w:val="20"/>
              </w:rPr>
              <w:t>Карта градостроительного зонирования с отображением границ зон с особыми условиями использования территории, границ территорий объектов культурного наследия</w:t>
            </w:r>
          </w:p>
        </w:tc>
        <w:tc>
          <w:tcPr>
            <w:tcW w:w="758" w:type="dxa"/>
            <w:tcBorders>
              <w:top w:val="single" w:sz="4" w:space="0" w:color="auto"/>
              <w:left w:val="single" w:sz="4" w:space="0" w:color="auto"/>
              <w:bottom w:val="single" w:sz="4" w:space="0" w:color="auto"/>
              <w:right w:val="single" w:sz="4" w:space="0" w:color="auto"/>
            </w:tcBorders>
            <w:vAlign w:val="center"/>
          </w:tcPr>
          <w:p>
            <w:pPr>
              <w:pStyle w:val="1b"/>
            </w:pPr>
          </w:p>
        </w:tc>
        <w:tc>
          <w:tcPr>
            <w:tcW w:w="1936" w:type="dxa"/>
            <w:tcBorders>
              <w:top w:val="single" w:sz="4" w:space="0" w:color="auto"/>
              <w:left w:val="single" w:sz="4" w:space="0" w:color="auto"/>
              <w:bottom w:val="single" w:sz="4" w:space="0" w:color="auto"/>
              <w:right w:val="single" w:sz="4" w:space="0" w:color="auto"/>
            </w:tcBorders>
            <w:vAlign w:val="center"/>
          </w:tcPr>
          <w:p>
            <w:pPr>
              <w:pStyle w:val="1b"/>
            </w:pPr>
            <w:r>
              <w:t>183-01/ПЗЗ-1.2</w:t>
            </w:r>
          </w:p>
        </w:tc>
        <w:tc>
          <w:tcPr>
            <w:tcW w:w="1324" w:type="dxa"/>
            <w:tcBorders>
              <w:top w:val="single" w:sz="4" w:space="0" w:color="auto"/>
              <w:left w:val="single" w:sz="4" w:space="0" w:color="auto"/>
              <w:bottom w:val="single" w:sz="4" w:space="0" w:color="auto"/>
              <w:right w:val="single" w:sz="4" w:space="0" w:color="auto"/>
            </w:tcBorders>
            <w:vAlign w:val="center"/>
          </w:tcPr>
          <w:p>
            <w:pPr>
              <w:pStyle w:val="1b"/>
            </w:pPr>
            <w:r>
              <w:t>1:10 000</w:t>
            </w:r>
          </w:p>
        </w:tc>
      </w:tr>
    </w:tbl>
    <w:p>
      <w:pPr>
        <w:ind w:left="1069"/>
        <w:jc w:val="both"/>
        <w:rPr>
          <w:rFonts w:ascii="Times New Roman" w:hAnsi="Times New Roman" w:cs="Times New Roman"/>
          <w:b/>
          <w:sz w:val="24"/>
        </w:rPr>
      </w:pPr>
      <w:r>
        <w:rPr>
          <w:rFonts w:ascii="Times New Roman" w:eastAsia="Calibri" w:hAnsi="Times New Roman" w:cs="Times New Roman"/>
          <w:bCs/>
        </w:rPr>
        <w:t xml:space="preserve"> </w:t>
      </w:r>
    </w:p>
    <w:p>
      <w:pPr>
        <w:pStyle w:val="000"/>
        <w:ind w:firstLine="0"/>
      </w:pPr>
    </w:p>
    <w:p>
      <w:pPr>
        <w:pStyle w:val="000"/>
      </w:pPr>
    </w:p>
    <w:p>
      <w:pPr>
        <w:pStyle w:val="000"/>
      </w:pPr>
    </w:p>
    <w:p>
      <w:pPr>
        <w:pStyle w:val="000"/>
      </w:pPr>
    </w:p>
    <w:p>
      <w:pPr>
        <w:pStyle w:val="12"/>
        <w:jc w:val="left"/>
        <w:rPr>
          <w:rFonts w:cs="Times New Roman"/>
        </w:rPr>
        <w:sectPr>
          <w:pgSz w:w="11906" w:h="16838"/>
          <w:pgMar w:top="1134" w:right="567" w:bottom="1134" w:left="1134" w:header="709" w:footer="709" w:gutter="0"/>
          <w:cols w:space="708"/>
          <w:docGrid w:linePitch="360"/>
        </w:sectPr>
      </w:pPr>
    </w:p>
    <w:p>
      <w:pPr>
        <w:pStyle w:val="12"/>
        <w:rPr>
          <w:rFonts w:cs="Times New Roman"/>
        </w:rPr>
      </w:pPr>
      <w:bookmarkStart w:id="3" w:name="_Toc22656419"/>
      <w:bookmarkStart w:id="4" w:name="_Toc80780308"/>
      <w:bookmarkStart w:id="5" w:name="_Toc99015333"/>
      <w:bookmarkStart w:id="6" w:name="_Toc243142747"/>
      <w:r>
        <w:rPr>
          <w:rFonts w:cs="Times New Roman"/>
        </w:rPr>
        <w:lastRenderedPageBreak/>
        <w:t>ЧАСТЬ I. ПОРЯДОК ПРИМЕНЕНИЯ ПРАВИЛ ЗЕМЛЕПОЛЬЗОВАНИЯ И ЗАСТРОЙКИ И ВНЕСЕНИЯ В НИХ ИЗМЕНЕНИЙ</w:t>
      </w:r>
      <w:bookmarkEnd w:id="3"/>
      <w:bookmarkEnd w:id="4"/>
      <w:bookmarkEnd w:id="5"/>
    </w:p>
    <w:p>
      <w:pPr>
        <w:pStyle w:val="2"/>
      </w:pPr>
      <w:bookmarkStart w:id="7" w:name="_Toc243142709"/>
      <w:bookmarkStart w:id="8" w:name="_Toc22656420"/>
      <w:bookmarkStart w:id="9" w:name="_Toc80780309"/>
      <w:bookmarkStart w:id="10" w:name="_Toc99015334"/>
      <w:r>
        <w:t>ГЛАВА 1. Регулирование землепользования и застройки органами местного самоуправления</w:t>
      </w:r>
      <w:bookmarkEnd w:id="7"/>
      <w:bookmarkEnd w:id="8"/>
      <w:bookmarkEnd w:id="9"/>
      <w:bookmarkEnd w:id="10"/>
    </w:p>
    <w:p>
      <w:pPr>
        <w:pStyle w:val="3"/>
      </w:pPr>
      <w:bookmarkStart w:id="11" w:name="_Toc22656421"/>
      <w:bookmarkStart w:id="12" w:name="_Toc80780310"/>
      <w:bookmarkStart w:id="13" w:name="_Toc99015335"/>
      <w:bookmarkStart w:id="14" w:name="sub_10"/>
      <w:bookmarkStart w:id="15" w:name="_Toc243142710"/>
      <w:r>
        <w:t xml:space="preserve">Статья 1. Правовой статус Правил землепользования и застройки </w:t>
      </w:r>
      <w:bookmarkEnd w:id="11"/>
      <w:r>
        <w:t>городского округа Анадырь</w:t>
      </w:r>
      <w:bookmarkEnd w:id="12"/>
      <w:bookmarkEnd w:id="13"/>
    </w:p>
    <w:p>
      <w:pPr>
        <w:pStyle w:val="ConsPlusNormal"/>
        <w:ind w:left="-240" w:firstLine="540"/>
        <w:jc w:val="both"/>
        <w:rPr>
          <w:rFonts w:ascii="Times New Roman" w:hAnsi="Times New Roman" w:cs="Times New Roman"/>
          <w:sz w:val="26"/>
          <w:szCs w:val="26"/>
        </w:rPr>
      </w:pPr>
      <w:bookmarkStart w:id="16" w:name="sub_10220"/>
      <w:bookmarkEnd w:id="14"/>
      <w:r>
        <w:rPr>
          <w:rFonts w:ascii="Times New Roman" w:hAnsi="Times New Roman" w:cs="Times New Roman"/>
          <w:sz w:val="26"/>
          <w:szCs w:val="26"/>
        </w:rPr>
        <w:t>Правила землепользования и застройки городского округа Анадырь (далее – Правила застройки, Правила) являются муниципальным правовым актом городского округа Анадырь, разработанным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w:t>
      </w:r>
    </w:p>
    <w:p>
      <w:pPr>
        <w:pStyle w:val="3"/>
      </w:pPr>
      <w:bookmarkStart w:id="17" w:name="_Toc22656422"/>
      <w:bookmarkStart w:id="18" w:name="_Toc80780311"/>
      <w:bookmarkStart w:id="19" w:name="_Toc99015336"/>
      <w:bookmarkEnd w:id="16"/>
      <w:r>
        <w:t xml:space="preserve">Статья 2. </w:t>
      </w:r>
      <w:bookmarkEnd w:id="15"/>
      <w:r>
        <w:t>Цели, назначение и область применения Правил застройки</w:t>
      </w:r>
      <w:bookmarkEnd w:id="17"/>
      <w:bookmarkEnd w:id="18"/>
      <w:bookmarkEnd w:id="19"/>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1. Правила разработаны в целях:</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1) создания условий для устойчивого развития территорий городского округа, сохранения окружающей среды и объектов культурного наследия;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создания условий для планировки территорий городского округа Анадырь;</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pPr>
        <w:pStyle w:val="ConsPlusNormal"/>
        <w:ind w:left="-240" w:firstLine="540"/>
        <w:jc w:val="both"/>
        <w:rPr>
          <w:rFonts w:ascii="Times New Roman" w:hAnsi="Times New Roman" w:cs="Times New Roman"/>
          <w:sz w:val="26"/>
          <w:szCs w:val="26"/>
          <w:vertAlign w:val="superscript"/>
        </w:rPr>
      </w:pPr>
      <w:r>
        <w:rPr>
          <w:rFonts w:ascii="Times New Roman" w:hAnsi="Times New Roman" w:cs="Times New Roman"/>
          <w:sz w:val="26"/>
          <w:szCs w:val="26"/>
        </w:rPr>
        <w:t>4) 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Правила застройки распространяются на всю территорию городского округа Анадырь.</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3. Правила устанавливают порядок регулирования землепользования и застройки территории городского округа, основанный на градостроительном зонировании – делении территории городского округа Анадырь на территориальные зоны с установлением в пределах каждой зоны градостроительных регламентов по видам разрешённого использования и параметрам допустимых строительных изменений объектов недвижимости – земельных участков и прочно связанных с землей зданий, сооружений и иных объектов при осуществлении градостроительной деятельности.</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4. Настоящие Правила обязательны для органов государственной власти (в части соблюдения градостроительных регламентов), органов местного самоуправления, физических и юридических лиц, должностных лиц, осуществляющих и контролирующих градостроительную деятельность и земельные отношения на территории городского округа Анадырь, судебных органов как основание для разрешения споров по вопросам землепользования и застройки, а также иных органов.</w:t>
      </w:r>
    </w:p>
    <w:p>
      <w:pPr>
        <w:tabs>
          <w:tab w:val="left" w:pos="709"/>
          <w:tab w:val="left" w:pos="851"/>
        </w:tabs>
        <w:ind w:left="-240" w:firstLine="567"/>
        <w:jc w:val="both"/>
        <w:rPr>
          <w:rFonts w:ascii="Times New Roman" w:hAnsi="Times New Roman" w:cs="Times New Roman"/>
          <w:sz w:val="26"/>
          <w:szCs w:val="26"/>
        </w:rPr>
      </w:pPr>
      <w:r>
        <w:rPr>
          <w:rFonts w:ascii="Times New Roman" w:hAnsi="Times New Roman" w:cs="Times New Roman"/>
          <w:sz w:val="26"/>
          <w:szCs w:val="26"/>
        </w:rPr>
        <w:t>5. Требования установленных Правилами застройки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pPr>
        <w:tabs>
          <w:tab w:val="left" w:pos="851"/>
        </w:tabs>
        <w:spacing w:after="0"/>
        <w:ind w:left="-240" w:firstLine="567"/>
        <w:jc w:val="both"/>
        <w:rPr>
          <w:rFonts w:ascii="Times New Roman" w:hAnsi="Times New Roman" w:cs="Times New Roman"/>
          <w:sz w:val="26"/>
          <w:szCs w:val="26"/>
        </w:rPr>
      </w:pPr>
      <w:r>
        <w:rPr>
          <w:rFonts w:ascii="Times New Roman" w:hAnsi="Times New Roman" w:cs="Times New Roman"/>
          <w:sz w:val="26"/>
          <w:szCs w:val="26"/>
        </w:rPr>
        <w:lastRenderedPageBreak/>
        <w:t>6. 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надёжности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pPr>
        <w:tabs>
          <w:tab w:val="left" w:pos="851"/>
        </w:tabs>
        <w:ind w:left="-240" w:firstLine="567"/>
        <w:jc w:val="both"/>
        <w:rPr>
          <w:rFonts w:ascii="Times New Roman" w:hAnsi="Times New Roman" w:cs="Times New Roman"/>
          <w:sz w:val="26"/>
          <w:szCs w:val="26"/>
        </w:rPr>
      </w:pPr>
      <w:r>
        <w:rPr>
          <w:rFonts w:ascii="Times New Roman" w:hAnsi="Times New Roman" w:cs="Times New Roman"/>
          <w:sz w:val="26"/>
          <w:szCs w:val="26"/>
        </w:rPr>
        <w:t>7.</w:t>
      </w:r>
      <w:r>
        <w:rPr>
          <w:rFonts w:ascii="Times New Roman" w:hAnsi="Times New Roman" w:cs="Times New Roman"/>
          <w:sz w:val="26"/>
          <w:szCs w:val="26"/>
        </w:rPr>
        <w:tab/>
        <w:t>Решения органов местного самоуправления городского округа Анадырь, органов государственной власти Российской Федерации и Чукотского автономного округа, противоречащие Правилам застройки, могут быть оспорены в судебном порядке.</w:t>
      </w:r>
    </w:p>
    <w:p>
      <w:pPr>
        <w:pStyle w:val="3"/>
      </w:pPr>
      <w:bookmarkStart w:id="20" w:name="_Toc258228295"/>
      <w:bookmarkStart w:id="21" w:name="_Toc281221509"/>
      <w:bookmarkStart w:id="22" w:name="_Toc395282203"/>
      <w:bookmarkStart w:id="23" w:name="_Toc420450050"/>
      <w:bookmarkStart w:id="24" w:name="_Toc22656423"/>
      <w:bookmarkStart w:id="25" w:name="_Toc80780312"/>
      <w:bookmarkStart w:id="26" w:name="_Toc99015337"/>
      <w:r>
        <w:t xml:space="preserve">Статья 3. </w:t>
      </w:r>
      <w:bookmarkEnd w:id="20"/>
      <w:r>
        <w:t>Соотношение Правил застройки с Генеральным планом городского округа Анадырь и документацией по планировке территории</w:t>
      </w:r>
      <w:bookmarkEnd w:id="21"/>
      <w:bookmarkEnd w:id="22"/>
      <w:bookmarkEnd w:id="23"/>
      <w:bookmarkEnd w:id="24"/>
      <w:bookmarkEnd w:id="25"/>
      <w:bookmarkEnd w:id="26"/>
    </w:p>
    <w:p>
      <w:pPr>
        <w:pStyle w:val="afe"/>
        <w:tabs>
          <w:tab w:val="num" w:pos="993"/>
          <w:tab w:val="left" w:pos="1080"/>
        </w:tabs>
        <w:spacing w:line="240" w:lineRule="auto"/>
        <w:ind w:left="-240" w:firstLine="567"/>
        <w:rPr>
          <w:rFonts w:ascii="Times New Roman" w:hAnsi="Times New Roman" w:cs="Times New Roman"/>
          <w:sz w:val="26"/>
          <w:szCs w:val="26"/>
        </w:rPr>
      </w:pPr>
      <w:r>
        <w:rPr>
          <w:rFonts w:ascii="Times New Roman" w:hAnsi="Times New Roman" w:cs="Times New Roman"/>
          <w:sz w:val="26"/>
          <w:szCs w:val="26"/>
        </w:rPr>
        <w:t>1. Правила застройки разработаны на основе Генерального плана городского округа Анадырь. Допускается конкретизация Правилами застройки положений указанного Генерального плана, но с обязательным учётом функционального зонирования территории.</w:t>
      </w:r>
    </w:p>
    <w:p>
      <w:pPr>
        <w:pStyle w:val="afe"/>
        <w:tabs>
          <w:tab w:val="num" w:pos="993"/>
          <w:tab w:val="left" w:pos="1080"/>
        </w:tabs>
        <w:spacing w:line="240" w:lineRule="auto"/>
        <w:ind w:left="-240" w:firstLine="567"/>
        <w:rPr>
          <w:rFonts w:ascii="Times New Roman" w:hAnsi="Times New Roman" w:cs="Times New Roman"/>
          <w:sz w:val="26"/>
          <w:szCs w:val="26"/>
        </w:rPr>
      </w:pPr>
      <w:r>
        <w:rPr>
          <w:rFonts w:ascii="Times New Roman" w:hAnsi="Times New Roman" w:cs="Times New Roman"/>
          <w:sz w:val="26"/>
          <w:szCs w:val="26"/>
        </w:rPr>
        <w:t>В случае внесения в установленном порядке изменений в Генеральный план городского округа Анадырь, соответствующие изменения при необходимости вносятся в Правила застройки.</w:t>
      </w:r>
    </w:p>
    <w:p>
      <w:pPr>
        <w:pStyle w:val="afe"/>
        <w:tabs>
          <w:tab w:val="num" w:pos="993"/>
          <w:tab w:val="left" w:pos="1080"/>
        </w:tabs>
        <w:spacing w:line="240" w:lineRule="auto"/>
        <w:ind w:left="-240" w:firstLine="567"/>
        <w:rPr>
          <w:rFonts w:ascii="Times New Roman" w:hAnsi="Times New Roman" w:cs="Times New Roman"/>
          <w:sz w:val="26"/>
          <w:szCs w:val="26"/>
        </w:rPr>
      </w:pPr>
      <w:r>
        <w:rPr>
          <w:rFonts w:ascii="Times New Roman" w:hAnsi="Times New Roman" w:cs="Times New Roman"/>
          <w:sz w:val="26"/>
          <w:szCs w:val="26"/>
        </w:rPr>
        <w:t>2. Документация по планировке территории разрабатывается на основе генерального плана городского округа Анадырь, Правил застройки и не должна им противоречить.</w:t>
      </w:r>
    </w:p>
    <w:p>
      <w:pPr>
        <w:pStyle w:val="afe"/>
        <w:tabs>
          <w:tab w:val="num" w:pos="993"/>
          <w:tab w:val="left" w:pos="1080"/>
        </w:tabs>
        <w:spacing w:line="240" w:lineRule="auto"/>
        <w:ind w:left="-240" w:firstLine="567"/>
        <w:rPr>
          <w:rFonts w:ascii="Times New Roman" w:hAnsi="Times New Roman" w:cs="Times New Roman"/>
          <w:sz w:val="26"/>
          <w:szCs w:val="26"/>
        </w:rPr>
      </w:pPr>
      <w:r>
        <w:rPr>
          <w:rFonts w:ascii="Times New Roman" w:hAnsi="Times New Roman" w:cs="Times New Roman"/>
          <w:sz w:val="26"/>
          <w:szCs w:val="26"/>
        </w:rPr>
        <w:t>3. Нормативные правовые акты органов местного самоуправления городского округа Анадырь, за исключением указанного Генерального плана, принятые до вступления в силу Правил застройки, применяются в части, не противоречащей им.</w:t>
      </w:r>
    </w:p>
    <w:p>
      <w:pPr>
        <w:pStyle w:val="3"/>
        <w:tabs>
          <w:tab w:val="left" w:pos="0"/>
        </w:tabs>
        <w:ind w:left="-240"/>
        <w:jc w:val="center"/>
        <w:rPr>
          <w:rFonts w:cs="Times New Roman"/>
          <w:color w:val="000000" w:themeColor="text1"/>
          <w:kern w:val="1"/>
          <w:szCs w:val="26"/>
        </w:rPr>
      </w:pPr>
      <w:bookmarkStart w:id="27" w:name="_Toc243142712"/>
      <w:bookmarkStart w:id="28" w:name="_Toc22656424"/>
      <w:bookmarkStart w:id="29" w:name="_Toc80780313"/>
      <w:bookmarkStart w:id="30" w:name="_Toc99015338"/>
      <w:r>
        <w:rPr>
          <w:rFonts w:cs="Times New Roman"/>
          <w:color w:val="000000" w:themeColor="text1"/>
          <w:kern w:val="1"/>
          <w:szCs w:val="26"/>
        </w:rPr>
        <w:t xml:space="preserve">Статья 4. </w:t>
      </w:r>
      <w:bookmarkEnd w:id="27"/>
      <w:r>
        <w:rPr>
          <w:rFonts w:cs="Times New Roman"/>
          <w:color w:val="000000" w:themeColor="text1"/>
          <w:kern w:val="1"/>
          <w:szCs w:val="26"/>
        </w:rPr>
        <w:t>Общедоступность информации о землепользовании и застройке</w:t>
      </w:r>
      <w:bookmarkEnd w:id="28"/>
      <w:bookmarkEnd w:id="29"/>
      <w:bookmarkEnd w:id="30"/>
    </w:p>
    <w:p>
      <w:pPr>
        <w:pStyle w:val="afe"/>
        <w:tabs>
          <w:tab w:val="num" w:pos="993"/>
          <w:tab w:val="left" w:pos="1080"/>
        </w:tabs>
        <w:spacing w:line="240" w:lineRule="auto"/>
        <w:ind w:left="-240" w:firstLine="567"/>
        <w:rPr>
          <w:rFonts w:ascii="Times New Roman" w:hAnsi="Times New Roman" w:cs="Times New Roman"/>
          <w:sz w:val="26"/>
          <w:szCs w:val="26"/>
        </w:rPr>
      </w:pPr>
      <w:r>
        <w:rPr>
          <w:rFonts w:ascii="Times New Roman" w:hAnsi="Times New Roman" w:cs="Times New Roman"/>
          <w:sz w:val="26"/>
          <w:szCs w:val="26"/>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Администрация городского округа Анадырь обеспечивает возможность ознакомления с Правилами застройки путём их опубликования в средствах массовой информации и размещения на официальном сайте городского поселения в информационно-телекоммуникационной сети «Интернет».</w:t>
      </w:r>
    </w:p>
    <w:p>
      <w:pPr>
        <w:pStyle w:val="3"/>
      </w:pPr>
      <w:bookmarkStart w:id="31" w:name="_Toc243142714"/>
      <w:bookmarkStart w:id="32" w:name="_Toc22656425"/>
      <w:bookmarkStart w:id="33" w:name="_Toc80780314"/>
      <w:bookmarkStart w:id="34" w:name="_Toc99015339"/>
      <w:r>
        <w:t xml:space="preserve">Статья 5. </w:t>
      </w:r>
      <w:bookmarkEnd w:id="31"/>
      <w:r>
        <w:t>Полномочия органов местного самоуправления и должностных лиц городского округа Анадырь в области землепользования и застройки</w:t>
      </w:r>
      <w:bookmarkEnd w:id="32"/>
      <w:bookmarkEnd w:id="33"/>
      <w:bookmarkEnd w:id="34"/>
    </w:p>
    <w:p>
      <w:pPr>
        <w:spacing w:before="100" w:beforeAutospacing="1" w:after="0"/>
        <w:ind w:left="-284" w:firstLine="568"/>
        <w:jc w:val="both"/>
        <w:rPr>
          <w:rFonts w:ascii="Times New Roman" w:hAnsi="Times New Roman" w:cs="Times New Roman"/>
          <w:color w:val="000000"/>
          <w:sz w:val="26"/>
          <w:szCs w:val="26"/>
        </w:rPr>
      </w:pPr>
      <w:bookmarkStart w:id="35" w:name="sub_202"/>
      <w:r>
        <w:rPr>
          <w:rFonts w:ascii="Times New Roman" w:hAnsi="Times New Roman" w:cs="Times New Roman"/>
          <w:color w:val="000000"/>
          <w:sz w:val="26"/>
          <w:szCs w:val="26"/>
        </w:rPr>
        <w:t xml:space="preserve">1. Полномочия Главы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Совета депутатов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Администрации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в области землепользования и застройки определяются федеральными законами, Уставом </w:t>
      </w:r>
      <w:r>
        <w:rPr>
          <w:rFonts w:ascii="Times New Roman" w:hAnsi="Times New Roman" w:cs="Times New Roman"/>
          <w:sz w:val="26"/>
          <w:szCs w:val="26"/>
        </w:rPr>
        <w:t>Чукотского автономного округа</w:t>
      </w:r>
      <w:r>
        <w:rPr>
          <w:rFonts w:ascii="Times New Roman" w:hAnsi="Times New Roman" w:cs="Times New Roman"/>
          <w:color w:val="000000"/>
          <w:sz w:val="26"/>
          <w:szCs w:val="26"/>
        </w:rPr>
        <w:t xml:space="preserve">, законами </w:t>
      </w:r>
      <w:r>
        <w:rPr>
          <w:rFonts w:ascii="Times New Roman" w:hAnsi="Times New Roman" w:cs="Times New Roman"/>
          <w:sz w:val="26"/>
          <w:szCs w:val="26"/>
        </w:rPr>
        <w:t>Чукотского автономного округа</w:t>
      </w:r>
      <w:r>
        <w:rPr>
          <w:rFonts w:ascii="Times New Roman" w:hAnsi="Times New Roman" w:cs="Times New Roman"/>
          <w:color w:val="000000"/>
          <w:sz w:val="26"/>
          <w:szCs w:val="26"/>
        </w:rPr>
        <w:t xml:space="preserve">, Уставом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муниципальными правовыми актами органов местного самоуправления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w:t>
      </w:r>
    </w:p>
    <w:p>
      <w:pPr>
        <w:ind w:left="-284" w:firstLine="568"/>
        <w:jc w:val="both"/>
        <w:rPr>
          <w:rFonts w:ascii="Times New Roman" w:hAnsi="Times New Roman" w:cs="Times New Roman"/>
          <w:color w:val="000000"/>
          <w:sz w:val="26"/>
          <w:szCs w:val="26"/>
        </w:rPr>
      </w:pPr>
      <w:r>
        <w:rPr>
          <w:rFonts w:ascii="Times New Roman" w:hAnsi="Times New Roman" w:cs="Times New Roman"/>
          <w:color w:val="000000"/>
          <w:sz w:val="26"/>
          <w:szCs w:val="26"/>
        </w:rPr>
        <w:t xml:space="preserve">2. Полномочия органов местного самоуправления и должностных лиц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в области землепользования и застройки реализуются в случае, если иное не </w:t>
      </w:r>
      <w:r>
        <w:rPr>
          <w:rFonts w:ascii="Times New Roman" w:hAnsi="Times New Roman" w:cs="Times New Roman"/>
          <w:color w:val="000000"/>
          <w:sz w:val="26"/>
          <w:szCs w:val="26"/>
        </w:rPr>
        <w:lastRenderedPageBreak/>
        <w:t xml:space="preserve">предусмотрено соглашением или иным правовым актом о передаче органами местного самоуправления </w:t>
      </w:r>
      <w:r>
        <w:rPr>
          <w:rFonts w:ascii="Times New Roman" w:hAnsi="Times New Roman" w:cs="Times New Roman"/>
          <w:sz w:val="26"/>
          <w:szCs w:val="26"/>
        </w:rPr>
        <w:t>городского округа Анадырь</w:t>
      </w:r>
      <w:r>
        <w:rPr>
          <w:rFonts w:ascii="Times New Roman" w:hAnsi="Times New Roman" w:cs="Times New Roman"/>
          <w:color w:val="000000"/>
          <w:sz w:val="26"/>
          <w:szCs w:val="26"/>
        </w:rPr>
        <w:t xml:space="preserve"> отдельных полномочий органам государственной власти </w:t>
      </w:r>
      <w:r>
        <w:rPr>
          <w:rFonts w:ascii="Times New Roman" w:hAnsi="Times New Roman" w:cs="Times New Roman"/>
          <w:sz w:val="26"/>
          <w:szCs w:val="26"/>
        </w:rPr>
        <w:t>Чукотского автономного округа</w:t>
      </w:r>
      <w:r>
        <w:rPr>
          <w:rFonts w:ascii="Times New Roman" w:hAnsi="Times New Roman" w:cs="Times New Roman"/>
          <w:color w:val="000000"/>
          <w:sz w:val="26"/>
          <w:szCs w:val="26"/>
        </w:rPr>
        <w:t>. При наличии данного соглашения или иного правового акта полномочия в области землепользования и застройки реализуются в соответствии с указанным соглашением или иным правовым актом.</w:t>
      </w:r>
    </w:p>
    <w:p>
      <w:pPr>
        <w:pStyle w:val="3"/>
      </w:pPr>
      <w:bookmarkStart w:id="36" w:name="_Toc243142715"/>
      <w:bookmarkStart w:id="37" w:name="_Toc22656426"/>
      <w:bookmarkStart w:id="38" w:name="_Toc80780315"/>
      <w:bookmarkStart w:id="39" w:name="_Toc99015340"/>
      <w:bookmarkEnd w:id="35"/>
      <w:r>
        <w:t>Статья 6. Комиссия по подготовке проекта Правил застройки</w:t>
      </w:r>
      <w:bookmarkEnd w:id="36"/>
      <w:bookmarkEnd w:id="37"/>
      <w:bookmarkEnd w:id="38"/>
      <w:bookmarkEnd w:id="39"/>
    </w:p>
    <w:p>
      <w:pPr>
        <w:pStyle w:val="ad"/>
        <w:numPr>
          <w:ilvl w:val="0"/>
          <w:numId w:val="9"/>
        </w:numPr>
        <w:tabs>
          <w:tab w:val="left" w:pos="-142"/>
          <w:tab w:val="left" w:pos="851"/>
        </w:tabs>
        <w:spacing w:after="0" w:line="240" w:lineRule="auto"/>
        <w:ind w:left="-284" w:firstLine="568"/>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Комиссия по подготовке проекта правил землепользования и застройки Администрации городского округа Анадырь (далее также – Комиссия) формируется в целях обеспечения требований Правил застройки, предъявляемых к землепользованию и застройке.</w:t>
      </w:r>
    </w:p>
    <w:p>
      <w:pPr>
        <w:pStyle w:val="ad"/>
        <w:numPr>
          <w:ilvl w:val="0"/>
          <w:numId w:val="9"/>
        </w:numPr>
        <w:tabs>
          <w:tab w:val="left" w:pos="-142"/>
          <w:tab w:val="left" w:pos="851"/>
        </w:tabs>
        <w:spacing w:after="0" w:line="240" w:lineRule="auto"/>
        <w:ind w:left="-284" w:firstLine="568"/>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Комиссия является постоянно действующим совещательным органом при Администрации городского округа Анадырь. Решения Комиссии носят рекомендательный характер при принятии решений главой Администрации.</w:t>
      </w:r>
    </w:p>
    <w:p>
      <w:pPr>
        <w:pStyle w:val="ad"/>
        <w:numPr>
          <w:ilvl w:val="0"/>
          <w:numId w:val="9"/>
        </w:numPr>
        <w:tabs>
          <w:tab w:val="left" w:pos="-142"/>
          <w:tab w:val="left" w:pos="851"/>
        </w:tabs>
        <w:spacing w:after="0" w:line="240" w:lineRule="auto"/>
        <w:ind w:left="-284" w:firstLine="568"/>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Комиссия осуществляет свою деятельность согласно Градостроительному кодексу РФ, Правилам застройки, а также согласно Положению о Комиссии, утверждаемому Администрацией городского округа Анадырь.</w:t>
      </w:r>
    </w:p>
    <w:p>
      <w:pPr>
        <w:ind w:left="-240"/>
        <w:jc w:val="both"/>
        <w:rPr>
          <w:sz w:val="16"/>
          <w:szCs w:val="16"/>
        </w:rPr>
      </w:pPr>
    </w:p>
    <w:p>
      <w:pPr>
        <w:pStyle w:val="3"/>
      </w:pPr>
      <w:bookmarkStart w:id="40" w:name="_Toc420450070"/>
      <w:bookmarkStart w:id="41" w:name="_Toc22656427"/>
      <w:bookmarkStart w:id="42" w:name="_Toc80780316"/>
      <w:bookmarkStart w:id="43" w:name="_Toc99015341"/>
      <w:r>
        <w:t>Статья 7. Образование земельных участков из земель или земельных участков, находящихся в государственной или муниципальной собственности</w:t>
      </w:r>
      <w:bookmarkEnd w:id="40"/>
      <w:bookmarkEnd w:id="41"/>
      <w:bookmarkEnd w:id="42"/>
      <w:bookmarkEnd w:id="43"/>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1.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1) проект межевания территории, утвержденный в соответствии с Градостроительным кодексом РФ;</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2) проектная документация о местоположении, границах, площади и об иных количественных и качественных характеристиках лесных участков (в пределах границ городских лесов, на которых расположены лесничества и лесопарки);</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3) утверждённая схема расположения земельного участка или земельных участков на кадастровом плане территории.</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2. Не допускается образование земельного участка, границы которого пересекают границы территориальных зон, лесничеств,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3.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учётом положений, предусмотренных частью 4 настоящей статьи.</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4. Исключительно в соответствии с утверждённым проектом межевания территории осуществляется образование земельных участков:</w:t>
      </w:r>
    </w:p>
    <w:p>
      <w:pPr>
        <w:autoSpaceDE w:val="0"/>
        <w:autoSpaceDN w:val="0"/>
        <w:adjustRightInd w:val="0"/>
        <w:spacing w:after="0"/>
        <w:ind w:left="-284" w:firstLine="710"/>
        <w:jc w:val="both"/>
        <w:rPr>
          <w:rFonts w:ascii="Times New Roman" w:hAnsi="Times New Roman" w:cs="Times New Roman"/>
          <w:sz w:val="26"/>
          <w:szCs w:val="26"/>
        </w:rPr>
      </w:pPr>
      <w:r>
        <w:rPr>
          <w:rFonts w:ascii="Times New Roman" w:hAnsi="Times New Roman" w:cs="Times New Roman"/>
          <w:sz w:val="26"/>
          <w:szCs w:val="26"/>
        </w:rPr>
        <w:t>1) из земельного участка, предоставленного для комплексного освоения территории;</w:t>
      </w:r>
    </w:p>
    <w:p>
      <w:pPr>
        <w:autoSpaceDE w:val="0"/>
        <w:autoSpaceDN w:val="0"/>
        <w:adjustRightInd w:val="0"/>
        <w:spacing w:after="0"/>
        <w:ind w:left="-284" w:firstLine="710"/>
        <w:jc w:val="both"/>
        <w:rPr>
          <w:rFonts w:ascii="Times New Roman" w:hAnsi="Times New Roman" w:cs="Times New Roman"/>
          <w:sz w:val="26"/>
          <w:szCs w:val="26"/>
        </w:rPr>
      </w:pPr>
      <w:r>
        <w:rPr>
          <w:rFonts w:ascii="Times New Roman" w:hAnsi="Times New Roman" w:cs="Times New Roman"/>
          <w:sz w:val="26"/>
          <w:szCs w:val="26"/>
        </w:rPr>
        <w:t>2) из земельного участка, предоставленного садоводческому или огородническому некоммерческому товариществу;</w:t>
      </w:r>
    </w:p>
    <w:p>
      <w:pPr>
        <w:autoSpaceDE w:val="0"/>
        <w:autoSpaceDN w:val="0"/>
        <w:adjustRightInd w:val="0"/>
        <w:spacing w:after="0"/>
        <w:ind w:left="-284" w:firstLine="710"/>
        <w:jc w:val="both"/>
        <w:rPr>
          <w:rFonts w:ascii="Times New Roman" w:hAnsi="Times New Roman" w:cs="Times New Roman"/>
          <w:sz w:val="26"/>
          <w:szCs w:val="26"/>
        </w:rPr>
      </w:pPr>
      <w:r>
        <w:rPr>
          <w:rFonts w:ascii="Times New Roman" w:hAnsi="Times New Roman" w:cs="Times New Roman"/>
          <w:sz w:val="26"/>
          <w:szCs w:val="26"/>
        </w:rPr>
        <w:lastRenderedPageBreak/>
        <w:t>3) в границах территории, в отношении которой в соответствии с законодательством о градостроительной деятельности заключен договор о её развитии;</w:t>
      </w:r>
    </w:p>
    <w:p>
      <w:pPr>
        <w:autoSpaceDE w:val="0"/>
        <w:autoSpaceDN w:val="0"/>
        <w:adjustRightInd w:val="0"/>
        <w:spacing w:after="0"/>
        <w:ind w:left="-284" w:firstLine="710"/>
        <w:jc w:val="both"/>
        <w:rPr>
          <w:rFonts w:ascii="Times New Roman" w:hAnsi="Times New Roman" w:cs="Times New Roman"/>
          <w:sz w:val="26"/>
          <w:szCs w:val="26"/>
        </w:rPr>
      </w:pPr>
      <w:r>
        <w:rPr>
          <w:rFonts w:ascii="Times New Roman" w:hAnsi="Times New Roman" w:cs="Times New Roman"/>
          <w:sz w:val="26"/>
          <w:szCs w:val="26"/>
        </w:rPr>
        <w:t>4) в границах элемента планировочной структуры, застроенного многоквартирными домами, за исключением образования земельного участка для целей, предусмотренных статьёй 13 Федерального закона от 30 декабря 2004 года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местного значения, не являющихся линейными объектами, а также образования земельного участка в целях его предоставления собственникам расположенных на нем зданий, сооружений;</w:t>
      </w:r>
    </w:p>
    <w:p>
      <w:pPr>
        <w:autoSpaceDE w:val="0"/>
        <w:autoSpaceDN w:val="0"/>
        <w:adjustRightInd w:val="0"/>
        <w:ind w:left="-284" w:firstLine="710"/>
        <w:jc w:val="both"/>
        <w:rPr>
          <w:rFonts w:ascii="Times New Roman" w:hAnsi="Times New Roman" w:cs="Times New Roman"/>
          <w:sz w:val="26"/>
          <w:szCs w:val="26"/>
        </w:rPr>
      </w:pPr>
      <w:r>
        <w:rPr>
          <w:rFonts w:ascii="Times New Roman" w:hAnsi="Times New Roman" w:cs="Times New Roman"/>
          <w:sz w:val="26"/>
          <w:szCs w:val="26"/>
        </w:rPr>
        <w:t>5) для строительства, реконструкции линейных объектов федерального, регионального или местного значения.</w:t>
      </w:r>
    </w:p>
    <w:p>
      <w:pPr>
        <w:pStyle w:val="3"/>
      </w:pPr>
      <w:bookmarkStart w:id="44" w:name="_Toc420450071"/>
      <w:bookmarkStart w:id="45" w:name="_Toc22656428"/>
      <w:bookmarkStart w:id="46" w:name="_Toc80780317"/>
      <w:bookmarkStart w:id="47" w:name="_Toc99015342"/>
      <w:r>
        <w:t>Статья 8. Предоставление земельных участков, находящихся в муниципальной собственности</w:t>
      </w:r>
      <w:bookmarkEnd w:id="44"/>
      <w:r>
        <w:t>, земельных участков, государственная собственность на которые не разграничена</w:t>
      </w:r>
      <w:bookmarkEnd w:id="45"/>
      <w:bookmarkEnd w:id="46"/>
      <w:bookmarkEnd w:id="47"/>
    </w:p>
    <w:p>
      <w:pPr>
        <w:pStyle w:val="ad"/>
        <w:numPr>
          <w:ilvl w:val="0"/>
          <w:numId w:val="12"/>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Предоставление земельных участков, находящихся в муниципальной собственности, осуществляется:</w:t>
      </w:r>
    </w:p>
    <w:p>
      <w:pPr>
        <w:pStyle w:val="ad"/>
        <w:numPr>
          <w:ilvl w:val="0"/>
          <w:numId w:val="13"/>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собственность, в аренду, в постоянное (бессрочное) пользование или в безвозмездное пользование;</w:t>
      </w:r>
    </w:p>
    <w:p>
      <w:pPr>
        <w:pStyle w:val="ad"/>
        <w:numPr>
          <w:ilvl w:val="0"/>
          <w:numId w:val="13"/>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торгах или без проведения торгов;</w:t>
      </w:r>
    </w:p>
    <w:p>
      <w:pPr>
        <w:pStyle w:val="ad"/>
        <w:numPr>
          <w:ilvl w:val="0"/>
          <w:numId w:val="13"/>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за плату или бесплатно;</w:t>
      </w:r>
    </w:p>
    <w:p>
      <w:pPr>
        <w:pStyle w:val="ad"/>
        <w:numPr>
          <w:ilvl w:val="0"/>
          <w:numId w:val="13"/>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без предварительного согласования или с предварительным согласованием предоставления земельного участка.</w:t>
      </w:r>
    </w:p>
    <w:p>
      <w:pPr>
        <w:pStyle w:val="ad"/>
        <w:tabs>
          <w:tab w:val="left" w:pos="993"/>
        </w:tabs>
        <w:spacing w:line="240" w:lineRule="auto"/>
        <w:ind w:left="-238"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Порядок предоставления земельных участков, находящихся в муниципальной собственности, установлен земельным законодательством РФ.</w:t>
      </w:r>
    </w:p>
    <w:p>
      <w:pPr>
        <w:pStyle w:val="ad"/>
        <w:numPr>
          <w:ilvl w:val="0"/>
          <w:numId w:val="12"/>
        </w:numPr>
        <w:tabs>
          <w:tab w:val="left" w:pos="993"/>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 РФ.</w:t>
      </w:r>
    </w:p>
    <w:p>
      <w:pPr>
        <w:pStyle w:val="3"/>
      </w:pPr>
      <w:bookmarkStart w:id="48" w:name="_Toc420450072"/>
      <w:bookmarkStart w:id="49" w:name="_Toc22656429"/>
      <w:bookmarkStart w:id="50" w:name="_Toc80780318"/>
      <w:bookmarkStart w:id="51" w:name="_Toc99015343"/>
      <w:r>
        <w:t>Статья 9. Обмен земельного участка, находящегося в муниципальной собственности, на земельный участок, находящийся в частной собственности</w:t>
      </w:r>
      <w:bookmarkEnd w:id="48"/>
      <w:bookmarkEnd w:id="49"/>
      <w:bookmarkEnd w:id="50"/>
      <w:bookmarkEnd w:id="51"/>
    </w:p>
    <w:p>
      <w:pPr>
        <w:spacing w:after="0"/>
        <w:ind w:left="-240" w:firstLine="544"/>
        <w:jc w:val="both"/>
        <w:rPr>
          <w:rFonts w:ascii="Times New Roman" w:hAnsi="Times New Roman" w:cs="Times New Roman"/>
          <w:sz w:val="26"/>
          <w:szCs w:val="26"/>
        </w:rPr>
      </w:pPr>
      <w:r>
        <w:rPr>
          <w:rFonts w:ascii="Times New Roman" w:hAnsi="Times New Roman" w:cs="Times New Roman"/>
          <w:sz w:val="26"/>
          <w:szCs w:val="26"/>
        </w:rPr>
        <w:t>1. Обмен земельного участка, находящегося в муниципальной собственности, на земельный участок, находящийся в частной собственности, допускается при обмене:</w:t>
      </w:r>
    </w:p>
    <w:p>
      <w:pPr>
        <w:spacing w:after="0"/>
        <w:ind w:left="-240" w:firstLine="544"/>
        <w:jc w:val="both"/>
        <w:rPr>
          <w:rFonts w:ascii="Times New Roman" w:hAnsi="Times New Roman" w:cs="Times New Roman"/>
          <w:sz w:val="26"/>
          <w:szCs w:val="26"/>
        </w:rPr>
      </w:pPr>
      <w:r>
        <w:rPr>
          <w:rFonts w:ascii="Times New Roman" w:hAnsi="Times New Roman" w:cs="Times New Roman"/>
          <w:sz w:val="26"/>
          <w:szCs w:val="26"/>
        </w:rPr>
        <w:t>1) земельного участка, находящегося в муниципальной собственности, на земельный участок, находящийся в частной собственности и изымаемый для муниципальных нужд;</w:t>
      </w:r>
    </w:p>
    <w:p>
      <w:pPr>
        <w:spacing w:after="0"/>
        <w:ind w:left="-240" w:firstLine="544"/>
        <w:jc w:val="both"/>
        <w:rPr>
          <w:rFonts w:ascii="Times New Roman" w:hAnsi="Times New Roman" w:cs="Times New Roman"/>
          <w:sz w:val="26"/>
          <w:szCs w:val="26"/>
        </w:rPr>
      </w:pPr>
      <w:r>
        <w:rPr>
          <w:rFonts w:ascii="Times New Roman" w:hAnsi="Times New Roman" w:cs="Times New Roman"/>
          <w:sz w:val="26"/>
          <w:szCs w:val="26"/>
        </w:rPr>
        <w:t>2)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pPr>
        <w:ind w:left="-240" w:firstLine="544"/>
        <w:jc w:val="both"/>
        <w:rPr>
          <w:rFonts w:ascii="Times New Roman" w:hAnsi="Times New Roman" w:cs="Times New Roman"/>
          <w:sz w:val="26"/>
          <w:szCs w:val="26"/>
        </w:rPr>
      </w:pPr>
      <w:r>
        <w:rPr>
          <w:rFonts w:ascii="Times New Roman" w:hAnsi="Times New Roman" w:cs="Times New Roman"/>
          <w:sz w:val="26"/>
          <w:szCs w:val="26"/>
        </w:rPr>
        <w:lastRenderedPageBreak/>
        <w:t>2. 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 РФ.</w:t>
      </w:r>
    </w:p>
    <w:p>
      <w:pPr>
        <w:pStyle w:val="3"/>
      </w:pPr>
      <w:bookmarkStart w:id="52" w:name="_Toc420450073"/>
      <w:bookmarkStart w:id="53" w:name="_Toc22656430"/>
      <w:bookmarkStart w:id="54" w:name="_Toc80780319"/>
      <w:bookmarkStart w:id="55" w:name="_Toc99015344"/>
      <w:r>
        <w:t>Статья 10. Изъятие земельных участков и резервирование земель для муниципальных нужд</w:t>
      </w:r>
      <w:bookmarkEnd w:id="52"/>
      <w:bookmarkEnd w:id="53"/>
      <w:bookmarkEnd w:id="54"/>
      <w:bookmarkEnd w:id="55"/>
    </w:p>
    <w:p>
      <w:pPr>
        <w:ind w:left="-240" w:firstLine="544"/>
        <w:jc w:val="both"/>
        <w:rPr>
          <w:rFonts w:ascii="Times New Roman" w:hAnsi="Times New Roman" w:cs="Times New Roman"/>
          <w:sz w:val="26"/>
          <w:szCs w:val="26"/>
        </w:rPr>
      </w:pPr>
      <w:r>
        <w:rPr>
          <w:rFonts w:ascii="Times New Roman" w:hAnsi="Times New Roman" w:cs="Times New Roman"/>
          <w:sz w:val="26"/>
          <w:szCs w:val="26"/>
        </w:rPr>
        <w:t>Основания и порядок изъятия земельных участков и резервирования земель для муниципальных нужд определяется земельным законодательством РФ.</w:t>
      </w:r>
    </w:p>
    <w:p>
      <w:pPr>
        <w:pStyle w:val="3"/>
      </w:pPr>
      <w:bookmarkStart w:id="56" w:name="_Toc420450074"/>
      <w:bookmarkStart w:id="57" w:name="_Toc22656431"/>
      <w:bookmarkStart w:id="58" w:name="_Toc80780320"/>
      <w:bookmarkStart w:id="59" w:name="_Toc99015345"/>
      <w:r>
        <w:t>Статья 11. Государственный земельный надзор, муниципальный земельный контроль, общественный земельный контроль</w:t>
      </w:r>
      <w:bookmarkEnd w:id="56"/>
      <w:bookmarkEnd w:id="57"/>
      <w:bookmarkEnd w:id="58"/>
      <w:bookmarkEnd w:id="59"/>
    </w:p>
    <w:p>
      <w:pPr>
        <w:tabs>
          <w:tab w:val="left" w:pos="108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t>На территории городского округа Анадырь осуществляется государственный земельный надзор, муниципальный земельный контроль и общественный земельный контроль за использованием земель.</w:t>
      </w:r>
    </w:p>
    <w:p>
      <w:pPr>
        <w:tabs>
          <w:tab w:val="left" w:pos="108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t>Государственный земельный надзор и общественный земельный контроль осуществляются в соответствии с земельным законодательством РФ.</w:t>
      </w:r>
    </w:p>
    <w:p>
      <w:pPr>
        <w:tabs>
          <w:tab w:val="left" w:pos="1080"/>
        </w:tabs>
        <w:ind w:left="-240" w:firstLine="720"/>
        <w:jc w:val="both"/>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t>Муниципальный земельный контроль осуществляется в соответствии с законодательством РФ и в порядке, установленном муниципальными правовыми актами органов местного самоуправления городского округа Анадырь.</w:t>
      </w:r>
    </w:p>
    <w:p>
      <w:pPr>
        <w:pStyle w:val="3"/>
      </w:pPr>
      <w:bookmarkStart w:id="60" w:name="_Toc420450075"/>
      <w:bookmarkStart w:id="61" w:name="_Toc22656432"/>
      <w:bookmarkStart w:id="62" w:name="_Toc80780321"/>
      <w:bookmarkStart w:id="63" w:name="_Toc99015346"/>
      <w:r>
        <w:t xml:space="preserve">Статья 12. </w:t>
      </w:r>
      <w:bookmarkEnd w:id="60"/>
      <w:r>
        <w:t>Деятельность по комплексному и устойчивому развитию территории</w:t>
      </w:r>
      <w:bookmarkEnd w:id="61"/>
      <w:bookmarkEnd w:id="62"/>
      <w:bookmarkEnd w:id="63"/>
    </w:p>
    <w:p>
      <w:pPr>
        <w:spacing w:after="240"/>
        <w:ind w:left="-240" w:firstLine="851"/>
        <w:jc w:val="both"/>
        <w:rPr>
          <w:rFonts w:ascii="Times New Roman" w:hAnsi="Times New Roman" w:cs="Times New Roman"/>
          <w:sz w:val="26"/>
          <w:szCs w:val="26"/>
        </w:rPr>
      </w:pPr>
      <w:r>
        <w:rPr>
          <w:rFonts w:ascii="Times New Roman" w:hAnsi="Times New Roman" w:cs="Times New Roman"/>
          <w:sz w:val="26"/>
          <w:szCs w:val="26"/>
        </w:rPr>
        <w:t>Договор о развитии застроенной территории, договор о комплексном освоении территории, договор об освоении территории в целях строительства стандартного жилья, договор о комплексном освоении территории в целях строительства стандартного жилья, договоры о комплексном и устойчивом развитии территории по инициативе правообладателей земельных участков и (или) объектов капитального строительства или по инициативе органа местного самоуправления заключаются в соответствии с градостроительным, гражданским и земельным законодательством РФ.</w:t>
      </w:r>
    </w:p>
    <w:p>
      <w:pPr>
        <w:ind w:left="-240"/>
        <w:jc w:val="both"/>
        <w:rPr>
          <w:bCs/>
          <w:sz w:val="26"/>
          <w:szCs w:val="26"/>
        </w:rPr>
      </w:pPr>
    </w:p>
    <w:p>
      <w:pPr>
        <w:pStyle w:val="2"/>
      </w:pPr>
      <w:bookmarkStart w:id="64" w:name="_Toc258228324"/>
      <w:bookmarkStart w:id="65" w:name="_Toc281221537"/>
      <w:bookmarkStart w:id="66" w:name="_Toc395282231"/>
      <w:bookmarkStart w:id="67" w:name="_Toc420450054"/>
      <w:bookmarkStart w:id="68" w:name="_Toc22656433"/>
      <w:bookmarkStart w:id="69" w:name="_Toc80780322"/>
      <w:bookmarkStart w:id="70" w:name="_Toc99015347"/>
      <w:r>
        <w:t xml:space="preserve">ГЛАВА 2. </w:t>
      </w:r>
      <w:bookmarkEnd w:id="64"/>
      <w:bookmarkEnd w:id="65"/>
      <w:bookmarkEnd w:id="66"/>
      <w:bookmarkEnd w:id="67"/>
      <w:r>
        <w:t>Изменение видов разрешённого использования земельных участков и объектов капитального строительства физическим и юридическими лицами</w:t>
      </w:r>
      <w:bookmarkEnd w:id="68"/>
      <w:bookmarkEnd w:id="69"/>
      <w:bookmarkEnd w:id="70"/>
    </w:p>
    <w:p>
      <w:pPr>
        <w:pStyle w:val="3"/>
      </w:pPr>
      <w:bookmarkStart w:id="71" w:name="_Toc258228327"/>
      <w:bookmarkStart w:id="72" w:name="_Toc281221540"/>
      <w:bookmarkStart w:id="73" w:name="_Toc395282234"/>
      <w:bookmarkStart w:id="74" w:name="_Toc415050366"/>
      <w:bookmarkStart w:id="75" w:name="_Toc420450056"/>
      <w:bookmarkStart w:id="76" w:name="_Toc22656434"/>
      <w:bookmarkStart w:id="77" w:name="_Toc80780323"/>
      <w:bookmarkStart w:id="78" w:name="_Toc99015348"/>
      <w:r>
        <w:t>Статья 13. Виды разрешённого использования земельных участков и объектов капитального строительства</w:t>
      </w:r>
      <w:bookmarkEnd w:id="71"/>
      <w:bookmarkEnd w:id="72"/>
      <w:bookmarkEnd w:id="73"/>
      <w:bookmarkEnd w:id="74"/>
      <w:bookmarkEnd w:id="75"/>
      <w:bookmarkEnd w:id="76"/>
      <w:bookmarkEnd w:id="77"/>
      <w:bookmarkEnd w:id="78"/>
    </w:p>
    <w:p>
      <w:pPr>
        <w:pStyle w:val="ad"/>
        <w:numPr>
          <w:ilvl w:val="0"/>
          <w:numId w:val="11"/>
        </w:numPr>
        <w:tabs>
          <w:tab w:val="left" w:pos="1134"/>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Виды разрешённого использования земельных участков, содержащиеся в градостроительных регламентах, установлены в соответствии с Классификатором видов разрешённого использования земельных участков (далее – Классификатор).</w:t>
      </w:r>
    </w:p>
    <w:p>
      <w:pPr>
        <w:pStyle w:val="ad"/>
        <w:numPr>
          <w:ilvl w:val="0"/>
          <w:numId w:val="11"/>
        </w:numPr>
        <w:tabs>
          <w:tab w:val="left" w:pos="1134"/>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Каждый вид разрешённого использования земельного участка имеет следующую структуру:</w:t>
      </w:r>
    </w:p>
    <w:p>
      <w:pPr>
        <w:pStyle w:val="ad"/>
        <w:numPr>
          <w:ilvl w:val="0"/>
          <w:numId w:val="10"/>
        </w:numPr>
        <w:spacing w:after="0" w:line="240" w:lineRule="auto"/>
        <w:ind w:left="-240" w:firstLine="666"/>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код (числовое обозначение) вида разрешённого использования земельного участка;</w:t>
      </w:r>
    </w:p>
    <w:p>
      <w:pPr>
        <w:pStyle w:val="ad"/>
        <w:numPr>
          <w:ilvl w:val="0"/>
          <w:numId w:val="10"/>
        </w:numPr>
        <w:spacing w:after="0" w:line="240" w:lineRule="auto"/>
        <w:ind w:left="-240" w:firstLine="666"/>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наименование вида разрешённого использования земельного участка.</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lastRenderedPageBreak/>
        <w:t>Код (числовое обозначение) вида разрешённого использования земельного участка и текстовое наименование вида разрешённого использования земельного участка являются равнозначными.</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Применительно к каждой территориальной зоне Правилами застройки установлены только те виды разрешённого использования из Классификатора (код и (или) наименование), которые допустимы в данной территориальной зоне.</w:t>
      </w:r>
    </w:p>
    <w:p>
      <w:pPr>
        <w:numPr>
          <w:ilvl w:val="0"/>
          <w:numId w:val="11"/>
        </w:numPr>
        <w:tabs>
          <w:tab w:val="left" w:pos="851"/>
        </w:tabs>
        <w:autoSpaceDE w:val="0"/>
        <w:autoSpaceDN w:val="0"/>
        <w:adjustRightInd w:val="0"/>
        <w:spacing w:after="0" w:line="240" w:lineRule="auto"/>
        <w:ind w:left="-284" w:firstLine="710"/>
        <w:jc w:val="both"/>
        <w:rPr>
          <w:rFonts w:ascii="Times New Roman" w:hAnsi="Times New Roman" w:cs="Times New Roman"/>
          <w:b/>
          <w:bCs/>
          <w:sz w:val="26"/>
          <w:szCs w:val="26"/>
        </w:rPr>
      </w:pPr>
      <w:r>
        <w:rPr>
          <w:rFonts w:ascii="Times New Roman" w:hAnsi="Times New Roman" w:cs="Times New Roman"/>
          <w:sz w:val="26"/>
          <w:szCs w:val="26"/>
        </w:rPr>
        <w:t>Содержание видов разрешённого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если федеральным законом не установлено иное.</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Разрешённое использование земельных участков и объектов капитального строительства может быть следующих видов:</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1) основные виды разрешённого использования;</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2) условно разрешённые виды использования;</w:t>
      </w:r>
    </w:p>
    <w:p>
      <w:pPr>
        <w:spacing w:after="0"/>
        <w:ind w:left="-240" w:firstLine="709"/>
        <w:jc w:val="both"/>
        <w:rPr>
          <w:rFonts w:ascii="Times New Roman" w:hAnsi="Times New Roman" w:cs="Times New Roman"/>
          <w:sz w:val="26"/>
          <w:szCs w:val="26"/>
        </w:rPr>
      </w:pPr>
      <w:r>
        <w:rPr>
          <w:rFonts w:ascii="Times New Roman" w:hAnsi="Times New Roman" w:cs="Times New Roman"/>
          <w:sz w:val="26"/>
          <w:szCs w:val="26"/>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городского поселения Советский,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Чукотского автономного округа и (или) городского округа Анадырь, сервитутов, публичных сервитутов, предельных параметров разрешённого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действующим законодательством. </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городского округа Анадырь,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Предоставление разрешения на условно разрешённый вид использования земельного участка или объекта капитального строительства и разрешения на отклонение от предельных параметров разрешённого строительства, реконструкции объектов капитального строительства осуществляются в порядке, предусмотренном статьей 21 Правил застройки.</w:t>
      </w:r>
    </w:p>
    <w:p>
      <w:pPr>
        <w:pStyle w:val="ad"/>
        <w:numPr>
          <w:ilvl w:val="0"/>
          <w:numId w:val="11"/>
        </w:numPr>
        <w:tabs>
          <w:tab w:val="left" w:pos="851"/>
        </w:tabs>
        <w:spacing w:after="0" w:line="240" w:lineRule="auto"/>
        <w:ind w:left="-240" w:firstLine="709"/>
        <w:contextualSpacing w:val="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pPr>
        <w:pStyle w:val="3"/>
      </w:pPr>
      <w:bookmarkStart w:id="79" w:name="_Toc258228329"/>
      <w:bookmarkStart w:id="80" w:name="_Toc281221542"/>
      <w:bookmarkStart w:id="81" w:name="_Toc395282235"/>
      <w:bookmarkStart w:id="82" w:name="_Toc420450057"/>
      <w:bookmarkStart w:id="83" w:name="_Toc22656435"/>
      <w:bookmarkStart w:id="84" w:name="_Toc80780324"/>
      <w:bookmarkStart w:id="85" w:name="_Toc99015349"/>
      <w:r>
        <w:lastRenderedPageBreak/>
        <w:t>Статья 14.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79"/>
      <w:bookmarkEnd w:id="80"/>
      <w:bookmarkEnd w:id="81"/>
      <w:bookmarkEnd w:id="82"/>
      <w:bookmarkEnd w:id="83"/>
      <w:bookmarkEnd w:id="84"/>
      <w:bookmarkEnd w:id="85"/>
    </w:p>
    <w:p>
      <w:pPr>
        <w:tabs>
          <w:tab w:val="left" w:pos="851"/>
          <w:tab w:val="left" w:pos="234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Чукотского автономного округа и (или) городского округа Анадырь,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действующего законодательства.</w:t>
      </w:r>
    </w:p>
    <w:p>
      <w:pPr>
        <w:tabs>
          <w:tab w:val="left" w:pos="851"/>
          <w:tab w:val="left" w:pos="234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t>Правообладатели земельных участков и объектов капитального строительства, за исключением указанных в части 7 статьи 13 Правил застройки, осуществляют изменения видов разрешённого использования земельных участков и объектов капитального строительства:</w:t>
      </w:r>
    </w:p>
    <w:p>
      <w:pPr>
        <w:spacing w:after="0"/>
        <w:ind w:left="-240" w:firstLine="720"/>
        <w:jc w:val="both"/>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t xml:space="preserve"> без дополнительных согласований и разрешений в случаях:</w:t>
      </w:r>
    </w:p>
    <w:p>
      <w:pPr>
        <w:spacing w:after="0"/>
        <w:ind w:left="-240" w:firstLine="720"/>
        <w:jc w:val="both"/>
        <w:rPr>
          <w:rFonts w:ascii="Times New Roman" w:hAnsi="Times New Roman" w:cs="Times New Roman"/>
          <w:sz w:val="26"/>
          <w:szCs w:val="26"/>
        </w:rPr>
      </w:pPr>
      <w:r>
        <w:rPr>
          <w:rFonts w:ascii="Times New Roman" w:hAnsi="Times New Roman" w:cs="Times New Roman"/>
          <w:sz w:val="26"/>
          <w:szCs w:val="26"/>
        </w:rPr>
        <w:t>- когда один из указанных в градостроительном регламенте основных видов разрешённого использования земельного участка, объекта капитального строительства заменяется другим основным или вспомогательным видом,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w:t>
      </w:r>
    </w:p>
    <w:p>
      <w:pPr>
        <w:spacing w:after="0"/>
        <w:ind w:left="-240" w:firstLine="720"/>
        <w:jc w:val="both"/>
        <w:rPr>
          <w:rFonts w:ascii="Times New Roman" w:hAnsi="Times New Roman" w:cs="Times New Roman"/>
          <w:sz w:val="26"/>
          <w:szCs w:val="26"/>
        </w:rPr>
      </w:pPr>
      <w:r>
        <w:rPr>
          <w:rFonts w:ascii="Times New Roman" w:hAnsi="Times New Roman" w:cs="Times New Roman"/>
          <w:sz w:val="26"/>
          <w:szCs w:val="26"/>
        </w:rPr>
        <w:t>- когда один из указанных в градостроительном регламенте вспомогательных видов разрешённого использования земельного участка, объекта капитального строительства заменяется другим вспомогательным или основным видом,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w:t>
      </w:r>
    </w:p>
    <w:p>
      <w:pPr>
        <w:spacing w:after="0"/>
        <w:ind w:left="-240" w:firstLine="720"/>
        <w:jc w:val="both"/>
        <w:rPr>
          <w:rFonts w:ascii="Times New Roman" w:hAnsi="Times New Roman" w:cs="Times New Roman"/>
          <w:sz w:val="26"/>
          <w:szCs w:val="26"/>
        </w:rPr>
      </w:pPr>
      <w:r>
        <w:rPr>
          <w:rFonts w:ascii="Times New Roman" w:hAnsi="Times New Roman" w:cs="Times New Roman"/>
          <w:sz w:val="26"/>
          <w:szCs w:val="26"/>
        </w:rPr>
        <w:t>2) при условии получения соответствующих разрешений, согласований в случаях:</w:t>
      </w:r>
    </w:p>
    <w:p>
      <w:pPr>
        <w:tabs>
          <w:tab w:val="left" w:pos="709"/>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 указанных в статье 21 Правил застройки;</w:t>
      </w:r>
    </w:p>
    <w:p>
      <w:pPr>
        <w:tabs>
          <w:tab w:val="left" w:pos="108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 установленных законодательством при осуществлении перепланировки помещений, конструктивных и инженерно-технических преобразований объектов капитального строительства, в том числе в области обеспечения санитарно-эпидемиологического благополучия населения, противопожарной безопасности.</w:t>
      </w:r>
    </w:p>
    <w:p>
      <w:pPr>
        <w:tabs>
          <w:tab w:val="left" w:pos="851"/>
          <w:tab w:val="left" w:pos="234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3. Изменение основного вида разрешённого использования или условно разрешённого вида на вспомогательный вид разрешённого использования допускается только в случае, если на земельном участке реализован какой-либо иной основной вид разрешённого использования или условно разрешённый вид.</w:t>
      </w:r>
    </w:p>
    <w:p>
      <w:pPr>
        <w:tabs>
          <w:tab w:val="left" w:pos="851"/>
          <w:tab w:val="left" w:pos="2340"/>
        </w:tabs>
        <w:spacing w:after="0"/>
        <w:ind w:left="-240" w:firstLine="720"/>
        <w:jc w:val="both"/>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pPr>
        <w:tabs>
          <w:tab w:val="left" w:pos="851"/>
          <w:tab w:val="left" w:pos="2340"/>
        </w:tabs>
        <w:ind w:left="-240" w:firstLine="720"/>
        <w:jc w:val="both"/>
        <w:rPr>
          <w:rFonts w:ascii="Times New Roman" w:hAnsi="Times New Roman" w:cs="Times New Roman"/>
          <w:sz w:val="26"/>
          <w:szCs w:val="26"/>
        </w:rPr>
      </w:pPr>
      <w:r>
        <w:rPr>
          <w:rFonts w:ascii="Times New Roman" w:hAnsi="Times New Roman" w:cs="Times New Roman"/>
          <w:sz w:val="26"/>
          <w:szCs w:val="26"/>
        </w:rPr>
        <w:lastRenderedPageBreak/>
        <w:t>5.</w:t>
      </w:r>
      <w:r>
        <w:rPr>
          <w:rFonts w:ascii="Times New Roman" w:hAnsi="Times New Roman" w:cs="Times New Roman"/>
          <w:sz w:val="26"/>
          <w:szCs w:val="26"/>
        </w:rPr>
        <w:tab/>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городского округа Анадырь,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pPr>
        <w:autoSpaceDE w:val="0"/>
        <w:autoSpaceDN w:val="0"/>
        <w:adjustRightInd w:val="0"/>
        <w:ind w:left="-240" w:firstLine="540"/>
        <w:jc w:val="both"/>
        <w:rPr>
          <w:rFonts w:cs="Arial"/>
          <w:sz w:val="16"/>
          <w:szCs w:val="16"/>
        </w:rPr>
      </w:pPr>
    </w:p>
    <w:p>
      <w:pPr>
        <w:pStyle w:val="2"/>
      </w:pPr>
      <w:bookmarkStart w:id="86" w:name="_Toc243142727"/>
      <w:bookmarkStart w:id="87" w:name="_Toc22656436"/>
      <w:bookmarkStart w:id="88" w:name="_Toc80780325"/>
      <w:bookmarkStart w:id="89" w:name="_Toc99015350"/>
      <w:r>
        <w:t>ГЛАВА 3. Подготовка документации по планировке территории органами местного самоуправления</w:t>
      </w:r>
      <w:bookmarkEnd w:id="86"/>
      <w:bookmarkEnd w:id="87"/>
      <w:bookmarkEnd w:id="88"/>
      <w:bookmarkEnd w:id="89"/>
    </w:p>
    <w:p>
      <w:pPr>
        <w:pStyle w:val="3"/>
      </w:pPr>
      <w:bookmarkStart w:id="90" w:name="_Toc22656437"/>
      <w:bookmarkStart w:id="91" w:name="_Toc80780326"/>
      <w:bookmarkStart w:id="92" w:name="_Toc99015351"/>
      <w:bookmarkStart w:id="93" w:name="_Toc243142728"/>
      <w:r>
        <w:t>Статья 15. Виды документации по планировке территории</w:t>
      </w:r>
      <w:bookmarkEnd w:id="90"/>
      <w:bookmarkEnd w:id="91"/>
      <w:bookmarkEnd w:id="92"/>
    </w:p>
    <w:bookmarkEnd w:id="93"/>
    <w:p>
      <w:pPr>
        <w:numPr>
          <w:ilvl w:val="0"/>
          <w:numId w:val="7"/>
        </w:numPr>
        <w:tabs>
          <w:tab w:val="clear" w:pos="1260"/>
          <w:tab w:val="num" w:pos="709"/>
        </w:tabs>
        <w:autoSpaceDE w:val="0"/>
        <w:autoSpaceDN w:val="0"/>
        <w:adjustRightInd w:val="0"/>
        <w:spacing w:before="40" w:after="4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Видами документации по планировке территории являются:</w:t>
      </w:r>
    </w:p>
    <w:p>
      <w:pPr>
        <w:autoSpaceDE w:val="0"/>
        <w:autoSpaceDN w:val="0"/>
        <w:adjustRightInd w:val="0"/>
        <w:spacing w:before="40" w:after="40"/>
        <w:ind w:left="-240" w:firstLine="540"/>
        <w:jc w:val="both"/>
        <w:rPr>
          <w:rFonts w:ascii="Times New Roman" w:hAnsi="Times New Roman" w:cs="Times New Roman"/>
          <w:sz w:val="26"/>
          <w:szCs w:val="26"/>
        </w:rPr>
      </w:pPr>
      <w:r>
        <w:rPr>
          <w:rFonts w:ascii="Times New Roman" w:hAnsi="Times New Roman" w:cs="Times New Roman"/>
          <w:sz w:val="26"/>
          <w:szCs w:val="26"/>
        </w:rPr>
        <w:t>1) проект планировки территории;</w:t>
      </w:r>
    </w:p>
    <w:p>
      <w:pPr>
        <w:autoSpaceDE w:val="0"/>
        <w:autoSpaceDN w:val="0"/>
        <w:adjustRightInd w:val="0"/>
        <w:spacing w:before="40" w:after="40"/>
        <w:ind w:left="-240" w:firstLine="540"/>
        <w:jc w:val="both"/>
        <w:rPr>
          <w:rFonts w:ascii="Times New Roman" w:hAnsi="Times New Roman" w:cs="Times New Roman"/>
          <w:sz w:val="26"/>
          <w:szCs w:val="26"/>
        </w:rPr>
      </w:pPr>
      <w:r>
        <w:rPr>
          <w:rFonts w:ascii="Times New Roman" w:hAnsi="Times New Roman" w:cs="Times New Roman"/>
          <w:sz w:val="26"/>
          <w:szCs w:val="26"/>
        </w:rPr>
        <w:t>2) проект межевания территории.</w:t>
      </w:r>
    </w:p>
    <w:p>
      <w:pPr>
        <w:numPr>
          <w:ilvl w:val="0"/>
          <w:numId w:val="7"/>
        </w:numPr>
        <w:tabs>
          <w:tab w:val="clear" w:pos="1260"/>
          <w:tab w:val="num" w:pos="709"/>
        </w:tabs>
        <w:autoSpaceDE w:val="0"/>
        <w:autoSpaceDN w:val="0"/>
        <w:adjustRightInd w:val="0"/>
        <w:spacing w:before="40" w:after="4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3" w:history="1">
        <w:r>
          <w:rPr>
            <w:rFonts w:ascii="Times New Roman" w:hAnsi="Times New Roman" w:cs="Times New Roman"/>
            <w:sz w:val="26"/>
            <w:szCs w:val="26"/>
          </w:rPr>
          <w:t>частью 3</w:t>
        </w:r>
      </w:hyperlink>
      <w:r>
        <w:rPr>
          <w:rFonts w:ascii="Times New Roman" w:hAnsi="Times New Roman" w:cs="Times New Roman"/>
          <w:sz w:val="26"/>
          <w:szCs w:val="26"/>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pPr>
        <w:numPr>
          <w:ilvl w:val="0"/>
          <w:numId w:val="7"/>
        </w:numPr>
        <w:tabs>
          <w:tab w:val="clear" w:pos="1260"/>
          <w:tab w:val="num" w:pos="709"/>
        </w:tabs>
        <w:autoSpaceDE w:val="0"/>
        <w:autoSpaceDN w:val="0"/>
        <w:adjustRightInd w:val="0"/>
        <w:spacing w:before="40" w:after="4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pPr>
        <w:autoSpaceDE w:val="0"/>
        <w:autoSpaceDN w:val="0"/>
        <w:adjustRightInd w:val="0"/>
        <w:spacing w:before="40" w:after="40"/>
        <w:ind w:left="-240" w:firstLine="540"/>
        <w:jc w:val="both"/>
        <w:rPr>
          <w:rFonts w:ascii="Times New Roman" w:hAnsi="Times New Roman" w:cs="Times New Roman"/>
          <w:sz w:val="26"/>
          <w:szCs w:val="26"/>
        </w:rPr>
      </w:pPr>
      <w:r>
        <w:rPr>
          <w:rFonts w:ascii="Times New Roman" w:hAnsi="Times New Roman" w:cs="Times New Roman"/>
          <w:sz w:val="26"/>
          <w:szCs w:val="26"/>
        </w:rPr>
        <w:t>1) определения местоположения границ, образуемых и изменяемых земельных участков;</w:t>
      </w:r>
    </w:p>
    <w:p>
      <w:pPr>
        <w:autoSpaceDE w:val="0"/>
        <w:autoSpaceDN w:val="0"/>
        <w:adjustRightInd w:val="0"/>
        <w:ind w:left="-240" w:firstLine="540"/>
        <w:jc w:val="both"/>
        <w:rPr>
          <w:sz w:val="26"/>
          <w:szCs w:val="26"/>
        </w:rPr>
      </w:pPr>
      <w:r>
        <w:rPr>
          <w:rFonts w:ascii="Times New Roman" w:hAnsi="Times New Roman" w:cs="Times New Roman"/>
          <w:sz w:val="26"/>
          <w:szCs w:val="26"/>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pPr>
        <w:pStyle w:val="3"/>
      </w:pPr>
      <w:bookmarkStart w:id="94" w:name="_Toc22656438"/>
      <w:bookmarkStart w:id="95" w:name="_Toc80780327"/>
      <w:bookmarkStart w:id="96" w:name="_Toc99015352"/>
      <w:bookmarkStart w:id="97" w:name="_Toc243142730"/>
      <w:r>
        <w:t>Статья 16. Состав и содержание проекта планировки территории и проекта межевания территории</w:t>
      </w:r>
      <w:bookmarkEnd w:id="94"/>
      <w:bookmarkEnd w:id="95"/>
      <w:bookmarkEnd w:id="96"/>
      <w:r>
        <w:t xml:space="preserve"> </w:t>
      </w:r>
      <w:bookmarkEnd w:id="97"/>
    </w:p>
    <w:p>
      <w:pPr>
        <w:tabs>
          <w:tab w:val="num" w:pos="900"/>
        </w:tabs>
        <w:autoSpaceDE w:val="0"/>
        <w:autoSpaceDN w:val="0"/>
        <w:adjustRightInd w:val="0"/>
        <w:spacing w:before="40" w:after="40"/>
        <w:ind w:left="-240" w:firstLine="540"/>
        <w:jc w:val="both"/>
        <w:rPr>
          <w:rFonts w:ascii="Times New Roman" w:hAnsi="Times New Roman" w:cs="Times New Roman"/>
          <w:sz w:val="26"/>
          <w:szCs w:val="26"/>
        </w:rPr>
      </w:pPr>
      <w:r>
        <w:rPr>
          <w:rFonts w:ascii="Times New Roman" w:hAnsi="Times New Roman" w:cs="Times New Roman"/>
          <w:sz w:val="26"/>
          <w:szCs w:val="26"/>
        </w:rPr>
        <w:t>Состав и содержание проекта планировки территории и проекта межевания территории устанавливаются Градостроительным кодексом РФ.</w:t>
      </w:r>
    </w:p>
    <w:p>
      <w:pPr>
        <w:pStyle w:val="3"/>
      </w:pPr>
      <w:bookmarkStart w:id="98" w:name="_Toc22656439"/>
      <w:bookmarkStart w:id="99" w:name="_Toc80780328"/>
      <w:bookmarkStart w:id="100" w:name="_Toc99015353"/>
      <w:bookmarkStart w:id="101" w:name="_Toc243142731"/>
      <w:r>
        <w:t>Статья 17. Подготовка документации по планировке территории</w:t>
      </w:r>
      <w:bookmarkEnd w:id="98"/>
      <w:bookmarkEnd w:id="99"/>
      <w:bookmarkEnd w:id="100"/>
    </w:p>
    <w:bookmarkEnd w:id="101"/>
    <w:p>
      <w:pPr>
        <w:tabs>
          <w:tab w:val="left" w:pos="900"/>
        </w:tabs>
        <w:autoSpaceDE w:val="0"/>
        <w:autoSpaceDN w:val="0"/>
        <w:adjustRightInd w:val="0"/>
        <w:ind w:left="-284" w:firstLine="568"/>
        <w:jc w:val="both"/>
        <w:rPr>
          <w:rFonts w:ascii="Times New Roman" w:hAnsi="Times New Roman" w:cs="Times New Roman"/>
          <w:sz w:val="26"/>
          <w:szCs w:val="26"/>
        </w:rPr>
      </w:pPr>
      <w:r>
        <w:rPr>
          <w:rFonts w:ascii="Times New Roman" w:hAnsi="Times New Roman" w:cs="Times New Roman"/>
          <w:sz w:val="26"/>
          <w:szCs w:val="26"/>
        </w:rPr>
        <w:t>Подготовка документации по планировке территории осуществляется в порядке, установленном Градостроительным кодексом РФ.</w:t>
      </w:r>
    </w:p>
    <w:p>
      <w:pPr>
        <w:pStyle w:val="3"/>
      </w:pPr>
      <w:bookmarkStart w:id="102" w:name="_Toc22656440"/>
      <w:bookmarkStart w:id="103" w:name="_Toc80780329"/>
      <w:bookmarkStart w:id="104" w:name="_Toc99015354"/>
      <w:bookmarkStart w:id="105" w:name="_Toc243142733"/>
      <w:r>
        <w:lastRenderedPageBreak/>
        <w:t>Статья 18. Согласование документации по планировке территории при размещении объекта федерального значения, объекта регионального значения в границах городского округа Анадырь</w:t>
      </w:r>
      <w:bookmarkEnd w:id="102"/>
      <w:bookmarkEnd w:id="103"/>
      <w:bookmarkEnd w:id="104"/>
    </w:p>
    <w:bookmarkEnd w:id="105"/>
    <w:p>
      <w:pPr>
        <w:numPr>
          <w:ilvl w:val="0"/>
          <w:numId w:val="8"/>
        </w:numPr>
        <w:tabs>
          <w:tab w:val="clear" w:pos="1260"/>
          <w:tab w:val="num" w:pos="900"/>
        </w:tabs>
        <w:autoSpaceDE w:val="0"/>
        <w:autoSpaceDN w:val="0"/>
        <w:adjustRightInd w:val="0"/>
        <w:spacing w:after="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Документация по планировке территории, которая подготовлена в целях размещения объекта федерального значения, объекта регионального значения или в целях размещения иного объекта в границах городского округа Анадырь и утверждение которой осуществляется уполномоченным федеральным органом исполнительной власти, уполномоченным органом исполнительной власти Чукотского автономного округа, до ее утверждения подлежит согласованию с главой городского округа Анадырь. Предметом согласования является соответствие планируемого размещения указанных объектов настоящим Правилам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pPr>
        <w:numPr>
          <w:ilvl w:val="0"/>
          <w:numId w:val="8"/>
        </w:numPr>
        <w:tabs>
          <w:tab w:val="clear" w:pos="1260"/>
          <w:tab w:val="num" w:pos="900"/>
        </w:tabs>
        <w:autoSpaceDE w:val="0"/>
        <w:autoSpaceDN w:val="0"/>
        <w:adjustRightInd w:val="0"/>
        <w:spacing w:after="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В течение двадцати дней со дня получения указанной в части 1 настоящей статьи документации по планировке территории глава городского округа Анадырь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pPr>
        <w:autoSpaceDE w:val="0"/>
        <w:autoSpaceDN w:val="0"/>
        <w:adjustRightInd w:val="0"/>
        <w:spacing w:after="0"/>
        <w:ind w:left="-240" w:firstLine="540"/>
        <w:jc w:val="both"/>
        <w:rPr>
          <w:rFonts w:ascii="Times New Roman" w:hAnsi="Times New Roman" w:cs="Times New Roman"/>
          <w:sz w:val="26"/>
          <w:szCs w:val="26"/>
        </w:rPr>
      </w:pPr>
      <w:r>
        <w:rPr>
          <w:rFonts w:ascii="Times New Roman" w:hAnsi="Times New Roman" w:cs="Times New Roman"/>
          <w:sz w:val="26"/>
          <w:szCs w:val="26"/>
        </w:rPr>
        <w:t>1) несоответствие планируемого размещения объектов, указанных в части 1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pPr>
        <w:autoSpaceDE w:val="0"/>
        <w:autoSpaceDN w:val="0"/>
        <w:adjustRightInd w:val="0"/>
        <w:spacing w:after="0"/>
        <w:ind w:left="-240" w:firstLine="540"/>
        <w:jc w:val="both"/>
        <w:rPr>
          <w:rFonts w:ascii="Times New Roman" w:hAnsi="Times New Roman" w:cs="Times New Roman"/>
          <w:sz w:val="26"/>
          <w:szCs w:val="26"/>
        </w:rPr>
      </w:pPr>
      <w:r>
        <w:rPr>
          <w:rFonts w:ascii="Times New Roman" w:hAnsi="Times New Roman" w:cs="Times New Roman"/>
          <w:sz w:val="26"/>
          <w:szCs w:val="26"/>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pPr>
        <w:numPr>
          <w:ilvl w:val="0"/>
          <w:numId w:val="8"/>
        </w:numPr>
        <w:tabs>
          <w:tab w:val="clear" w:pos="1260"/>
          <w:tab w:val="num" w:pos="900"/>
        </w:tabs>
        <w:autoSpaceDE w:val="0"/>
        <w:autoSpaceDN w:val="0"/>
        <w:adjustRightInd w:val="0"/>
        <w:spacing w:after="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В случае, если по истечении двадцати дней с момента поступления главе городского округа Анадырь предусмотренной частью 1 настоящей статьи документации по планировке территории главой городского округа Анадырь не направлен предусмотренный частью 2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pPr>
        <w:numPr>
          <w:ilvl w:val="0"/>
          <w:numId w:val="8"/>
        </w:numPr>
        <w:tabs>
          <w:tab w:val="clear" w:pos="1260"/>
          <w:tab w:val="num" w:pos="900"/>
        </w:tabs>
        <w:autoSpaceDE w:val="0"/>
        <w:autoSpaceDN w:val="0"/>
        <w:adjustRightInd w:val="0"/>
        <w:spacing w:after="0" w:line="240" w:lineRule="auto"/>
        <w:ind w:left="-240" w:firstLine="540"/>
        <w:jc w:val="both"/>
        <w:rPr>
          <w:rFonts w:ascii="Times New Roman" w:hAnsi="Times New Roman" w:cs="Times New Roman"/>
          <w:sz w:val="26"/>
          <w:szCs w:val="26"/>
        </w:rPr>
      </w:pPr>
      <w:bookmarkStart w:id="106" w:name="Par0"/>
      <w:bookmarkEnd w:id="106"/>
      <w:r>
        <w:rPr>
          <w:rFonts w:ascii="Times New Roman" w:hAnsi="Times New Roman" w:cs="Times New Roman"/>
          <w:sz w:val="26"/>
          <w:szCs w:val="26"/>
        </w:rPr>
        <w:t>При размещении в границах городского округа Анадырь объектов, указанных в части 1 настоящей статьи, документация по планировке территории, утверждённая соответственно уполномоченными федеральными органами исполнительной власти, высшим исполнительным органом государственной власти субъекта Российской Федерации, направляется главе городского округа Анадырь в течение семи дней со дня ее утверждения.</w:t>
      </w:r>
    </w:p>
    <w:p>
      <w:pPr>
        <w:numPr>
          <w:ilvl w:val="0"/>
          <w:numId w:val="8"/>
        </w:numPr>
        <w:tabs>
          <w:tab w:val="clear" w:pos="1260"/>
          <w:tab w:val="num" w:pos="900"/>
        </w:tabs>
        <w:autoSpaceDE w:val="0"/>
        <w:autoSpaceDN w:val="0"/>
        <w:adjustRightInd w:val="0"/>
        <w:spacing w:after="0" w:line="240" w:lineRule="auto"/>
        <w:ind w:left="-240" w:firstLine="540"/>
        <w:jc w:val="both"/>
        <w:rPr>
          <w:rFonts w:ascii="Times New Roman" w:hAnsi="Times New Roman" w:cs="Times New Roman"/>
          <w:sz w:val="26"/>
          <w:szCs w:val="26"/>
        </w:rPr>
      </w:pPr>
      <w:r>
        <w:rPr>
          <w:rFonts w:ascii="Times New Roman" w:hAnsi="Times New Roman" w:cs="Times New Roman"/>
          <w:sz w:val="26"/>
          <w:szCs w:val="26"/>
        </w:rPr>
        <w:t xml:space="preserve">Уполномоченный орган местного самоуправления городского округа Анадырь обеспечивает опубликование указанной в части 4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w:t>
      </w:r>
      <w:r>
        <w:rPr>
          <w:rFonts w:ascii="Times New Roman" w:hAnsi="Times New Roman" w:cs="Times New Roman"/>
          <w:sz w:val="26"/>
          <w:szCs w:val="26"/>
        </w:rPr>
        <w:lastRenderedPageBreak/>
        <w:t>иной официальной информации, и размещает информацию о такой документации на официальном сайте городского округа Анадырь в сети "Интернет".</w:t>
      </w:r>
    </w:p>
    <w:p>
      <w:pPr>
        <w:ind w:left="-240"/>
      </w:pPr>
    </w:p>
    <w:p>
      <w:pPr>
        <w:pStyle w:val="2"/>
      </w:pPr>
      <w:bookmarkStart w:id="107" w:name="_Toc243142734"/>
      <w:bookmarkStart w:id="108" w:name="_Toc22656441"/>
      <w:bookmarkStart w:id="109" w:name="_Toc80780330"/>
      <w:bookmarkStart w:id="110" w:name="_Toc99015355"/>
      <w:r>
        <w:t>ГЛАВА 4. Проведение общественных обсуждений и публичных слушаний по вопросам землепользования и застройки</w:t>
      </w:r>
      <w:bookmarkEnd w:id="107"/>
      <w:bookmarkEnd w:id="108"/>
      <w:bookmarkEnd w:id="109"/>
      <w:bookmarkEnd w:id="110"/>
    </w:p>
    <w:p>
      <w:pPr>
        <w:pStyle w:val="3"/>
      </w:pPr>
      <w:bookmarkStart w:id="111" w:name="_Toc243142735"/>
      <w:bookmarkStart w:id="112" w:name="_Toc22656442"/>
      <w:bookmarkStart w:id="113" w:name="_Toc80780331"/>
      <w:bookmarkStart w:id="114" w:name="_Toc99015356"/>
      <w:r>
        <w:t xml:space="preserve">Статья 19. </w:t>
      </w:r>
      <w:bookmarkEnd w:id="111"/>
      <w:r>
        <w:t>Общественные обсуждения и публичные слушания по вопросам землепользования и застройки</w:t>
      </w:r>
      <w:bookmarkEnd w:id="112"/>
      <w:bookmarkEnd w:id="113"/>
      <w:bookmarkEnd w:id="114"/>
    </w:p>
    <w:p>
      <w:pPr>
        <w:autoSpaceDE w:val="0"/>
        <w:autoSpaceDN w:val="0"/>
        <w:adjustRightInd w:val="0"/>
        <w:ind w:left="-240" w:firstLine="540"/>
        <w:jc w:val="both"/>
        <w:rPr>
          <w:rFonts w:ascii="Times New Roman" w:hAnsi="Times New Roman" w:cs="Times New Roman"/>
          <w:bCs/>
          <w:sz w:val="26"/>
          <w:szCs w:val="26"/>
        </w:rPr>
      </w:pPr>
      <w:r>
        <w:rPr>
          <w:rFonts w:ascii="Times New Roman" w:hAnsi="Times New Roman" w:cs="Times New Roman"/>
          <w:sz w:val="26"/>
          <w:szCs w:val="26"/>
        </w:rPr>
        <w:t>Проведение общественных обсуждений и публичных слушаний по вопросам землепользования и застройки осуществляется в соответствии законодательством РФ и муниципальными правовыми актами.</w:t>
      </w:r>
    </w:p>
    <w:p>
      <w:pPr>
        <w:pStyle w:val="2"/>
      </w:pPr>
      <w:bookmarkStart w:id="115" w:name="_Toc243142736"/>
      <w:bookmarkStart w:id="116" w:name="_Toc22656443"/>
      <w:bookmarkStart w:id="117" w:name="_Toc80780332"/>
      <w:bookmarkStart w:id="118" w:name="_Toc99015357"/>
      <w:r>
        <w:t>ГЛАВА 5. Внесение изменений в Правила</w:t>
      </w:r>
      <w:bookmarkEnd w:id="115"/>
      <w:r>
        <w:t xml:space="preserve"> застройки</w:t>
      </w:r>
      <w:bookmarkEnd w:id="116"/>
      <w:bookmarkEnd w:id="117"/>
      <w:bookmarkEnd w:id="118"/>
    </w:p>
    <w:p>
      <w:pPr>
        <w:pStyle w:val="3"/>
      </w:pPr>
      <w:bookmarkStart w:id="119" w:name="_Toc243142737"/>
      <w:bookmarkStart w:id="120" w:name="_Toc22656444"/>
      <w:bookmarkStart w:id="121" w:name="_Toc80780333"/>
      <w:bookmarkStart w:id="122" w:name="_Toc99015358"/>
      <w:r>
        <w:t xml:space="preserve">Статья 20. Внесение изменений в Правила </w:t>
      </w:r>
      <w:bookmarkEnd w:id="119"/>
      <w:r>
        <w:t>застройки</w:t>
      </w:r>
      <w:bookmarkEnd w:id="120"/>
      <w:bookmarkEnd w:id="121"/>
      <w:bookmarkEnd w:id="122"/>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1. Изменениями настоящих Правил застройки считаются любые изменения текста Правил застройки, карты градостроительного зонирования либо градостроительных регламентов.</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Основаниями для рассмотрения главой Администрации городского округа Анадырь вопроса о внесении изменений в Правила являются: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1) несоответствие Правил Генеральному плану городского округа Анадырь, возникшее в результате внесения в Генеральный план изменений;</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поступление от уполномоченного Правительством РФ федерального органа исполнительной власти обязательного для исполнения в сроки, установленные законодательством РФ,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3) поступление предложений об изменении границ территориальных зон, изменении градостроительных регламентов;</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pPr>
        <w:autoSpaceDE w:val="0"/>
        <w:autoSpaceDN w:val="0"/>
        <w:adjustRightInd w:val="0"/>
        <w:spacing w:after="0"/>
        <w:ind w:left="-238" w:firstLine="539"/>
        <w:jc w:val="both"/>
        <w:rPr>
          <w:rFonts w:ascii="Times New Roman" w:hAnsi="Times New Roman" w:cs="Times New Roman"/>
          <w:sz w:val="26"/>
          <w:szCs w:val="26"/>
        </w:rPr>
      </w:pPr>
      <w:r>
        <w:rPr>
          <w:rFonts w:ascii="Times New Roman" w:hAnsi="Times New Roman" w:cs="Times New Roman"/>
          <w:sz w:val="26"/>
          <w:szCs w:val="26"/>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pPr>
        <w:autoSpaceDE w:val="0"/>
        <w:autoSpaceDN w:val="0"/>
        <w:adjustRightInd w:val="0"/>
        <w:spacing w:after="0"/>
        <w:ind w:left="-240" w:firstLine="539"/>
        <w:jc w:val="both"/>
        <w:rPr>
          <w:rFonts w:ascii="Times New Roman" w:hAnsi="Times New Roman" w:cs="Times New Roman"/>
          <w:sz w:val="26"/>
          <w:szCs w:val="26"/>
        </w:rPr>
      </w:pPr>
      <w:r>
        <w:rPr>
          <w:rFonts w:ascii="Times New Roman" w:hAnsi="Times New Roman" w:cs="Times New Roman"/>
          <w:sz w:val="26"/>
          <w:szCs w:val="26"/>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3. Предложения о внесении изменений в Правила в Комиссию направляются: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2) органами исполнительной власти Чукотского автономного округа в случаях, если Правила могут воспрепятствовать функционированию, размещению объектов капитального строительства регионального значения;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городского округа Анадырь;</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4) органами местного самоуправления в случаях, если Правила могут воспрепятствовать функционированию, размещению объектов капитального строительства местного значения;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pPr>
        <w:spacing w:after="0"/>
        <w:ind w:left="-240" w:firstLine="547"/>
        <w:jc w:val="both"/>
        <w:rPr>
          <w:rFonts w:ascii="Times New Roman" w:hAnsi="Times New Roman" w:cs="Times New Roman"/>
          <w:sz w:val="26"/>
          <w:szCs w:val="26"/>
        </w:rPr>
      </w:pPr>
      <w:r>
        <w:rPr>
          <w:rFonts w:ascii="Times New Roman" w:hAnsi="Times New Roman" w:cs="Times New Roman"/>
          <w:sz w:val="26"/>
          <w:szCs w:val="26"/>
        </w:rPr>
        <w:t>4. В случае, если настоящими Правилами не обеспечена возможность размещения на территории городского округа Анадырь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Чукотского автономного округа, уполномоченный орган местного самоуправления направляют главе городского округа Анадырь требование о внесении изменений в настоящие Правила в целях обеспечения размещения указанных объектов.</w:t>
      </w:r>
    </w:p>
    <w:p>
      <w:pPr>
        <w:spacing w:after="0"/>
        <w:ind w:left="-240" w:firstLine="547"/>
        <w:jc w:val="both"/>
        <w:rPr>
          <w:rFonts w:ascii="Times New Roman" w:hAnsi="Times New Roman" w:cs="Times New Roman"/>
          <w:sz w:val="26"/>
          <w:szCs w:val="26"/>
        </w:rPr>
      </w:pPr>
      <w:r>
        <w:rPr>
          <w:rFonts w:ascii="Times New Roman" w:hAnsi="Times New Roman" w:cs="Times New Roman"/>
          <w:sz w:val="26"/>
          <w:szCs w:val="26"/>
        </w:rPr>
        <w:t>5. В случае, предусмотренном частью 4 настоящей статьи, глава городского округа Анадырь обеспечивает внесение изменений в настоящие Правила в течение тридцати дней со дня получения указанного в части 4 настоящей статьи требования.</w:t>
      </w:r>
    </w:p>
    <w:p>
      <w:pPr>
        <w:spacing w:after="0"/>
        <w:ind w:left="-240" w:firstLine="547"/>
        <w:jc w:val="both"/>
        <w:rPr>
          <w:rFonts w:ascii="Times New Roman" w:hAnsi="Times New Roman" w:cs="Times New Roman"/>
          <w:sz w:val="26"/>
          <w:szCs w:val="26"/>
        </w:rPr>
      </w:pPr>
      <w:r>
        <w:rPr>
          <w:rFonts w:ascii="Times New Roman" w:hAnsi="Times New Roman" w:cs="Times New Roman"/>
          <w:sz w:val="26"/>
          <w:szCs w:val="26"/>
        </w:rPr>
        <w:t>6. В целях внесения изменений в Правила застройки в случаях, предусмотренных пунктами 4-6 части 2 и частью 4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предусмотренного частью 7 настоящей статьи заключения Комиссии не требуются.</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t>7.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 городского округа Анадырь.</w:t>
      </w:r>
    </w:p>
    <w:p>
      <w:pPr>
        <w:pStyle w:val="ConsPlusNormal"/>
        <w:ind w:left="-240" w:firstLine="540"/>
        <w:jc w:val="both"/>
        <w:rPr>
          <w:rFonts w:ascii="Times New Roman" w:hAnsi="Times New Roman" w:cs="Times New Roman"/>
          <w:sz w:val="26"/>
          <w:szCs w:val="26"/>
        </w:rPr>
      </w:pPr>
      <w:r>
        <w:rPr>
          <w:rFonts w:ascii="Times New Roman" w:hAnsi="Times New Roman" w:cs="Times New Roman"/>
          <w:sz w:val="26"/>
          <w:szCs w:val="26"/>
        </w:rPr>
        <w:lastRenderedPageBreak/>
        <w:t>8. Глава Администрации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pPr>
        <w:rPr>
          <w:rFonts w:ascii="Times New Roman" w:eastAsiaTheme="majorEastAsia" w:hAnsi="Times New Roman" w:cs="Times New Roman"/>
          <w:b/>
          <w:bCs/>
          <w:color w:val="000000" w:themeColor="text1"/>
          <w:sz w:val="32"/>
          <w:szCs w:val="32"/>
        </w:rPr>
      </w:pPr>
      <w:bookmarkStart w:id="123" w:name="_Toc22656445"/>
      <w:r>
        <w:rPr>
          <w:rFonts w:ascii="Times New Roman" w:hAnsi="Times New Roman" w:cs="Times New Roman"/>
          <w:color w:val="000000" w:themeColor="text1"/>
          <w:sz w:val="32"/>
          <w:szCs w:val="32"/>
        </w:rPr>
        <w:br w:type="page"/>
      </w:r>
    </w:p>
    <w:p>
      <w:pPr>
        <w:pStyle w:val="2"/>
      </w:pPr>
      <w:bookmarkStart w:id="124" w:name="_Toc80780334"/>
      <w:bookmarkStart w:id="125" w:name="_Toc99015359"/>
      <w:r>
        <w:lastRenderedPageBreak/>
        <w:t>ГЛАВА 6. Регулирование иных вопросов землепользования и застройки</w:t>
      </w:r>
      <w:bookmarkEnd w:id="123"/>
      <w:bookmarkEnd w:id="124"/>
      <w:bookmarkEnd w:id="125"/>
    </w:p>
    <w:p>
      <w:pPr>
        <w:pStyle w:val="3"/>
      </w:pPr>
      <w:bookmarkStart w:id="126" w:name="_Toc258228310"/>
      <w:bookmarkStart w:id="127" w:name="_Toc281221524"/>
      <w:bookmarkStart w:id="128" w:name="_Toc395282219"/>
      <w:bookmarkStart w:id="129" w:name="_Toc420450067"/>
      <w:bookmarkStart w:id="130" w:name="_Toc22656446"/>
      <w:bookmarkStart w:id="131" w:name="_Toc80780335"/>
      <w:bookmarkStart w:id="132" w:name="_Toc99015360"/>
      <w:r>
        <w:t>Статья 21. Предоставление разрешения на условно разрешённый вид использования земельного участка или объекта капитального строительства</w:t>
      </w:r>
      <w:bookmarkEnd w:id="126"/>
      <w:bookmarkEnd w:id="127"/>
      <w:bookmarkEnd w:id="128"/>
      <w:bookmarkEnd w:id="129"/>
      <w:r>
        <w:t xml:space="preserve"> и предоставление разрешения на отклонение от предельных параметров разрешённого строительства, реконструкции объектов капитального строительства</w:t>
      </w:r>
      <w:bookmarkEnd w:id="130"/>
      <w:bookmarkEnd w:id="131"/>
      <w:bookmarkEnd w:id="132"/>
    </w:p>
    <w:p>
      <w:pPr>
        <w:spacing w:before="240"/>
        <w:ind w:left="-240" w:firstLine="709"/>
        <w:jc w:val="both"/>
        <w:rPr>
          <w:rFonts w:ascii="Times New Roman" w:hAnsi="Times New Roman" w:cs="Times New Roman"/>
          <w:sz w:val="26"/>
          <w:szCs w:val="26"/>
        </w:rPr>
      </w:pPr>
      <w:r>
        <w:rPr>
          <w:rFonts w:ascii="Times New Roman" w:hAnsi="Times New Roman" w:cs="Times New Roman"/>
          <w:kern w:val="1"/>
          <w:sz w:val="26"/>
          <w:szCs w:val="26"/>
        </w:rPr>
        <w:t>Предоставление разрешения на условно разрешённый вид использования земельного участка или объекта</w:t>
      </w:r>
      <w:r>
        <w:rPr>
          <w:rFonts w:ascii="Times New Roman" w:hAnsi="Times New Roman" w:cs="Times New Roman"/>
          <w:sz w:val="26"/>
          <w:szCs w:val="26"/>
        </w:rPr>
        <w:t xml:space="preserve"> капитального строительства</w:t>
      </w:r>
      <w:r>
        <w:rPr>
          <w:rFonts w:ascii="Times New Roman" w:hAnsi="Times New Roman" w:cs="Times New Roman"/>
          <w:kern w:val="1"/>
          <w:sz w:val="26"/>
          <w:szCs w:val="26"/>
        </w:rPr>
        <w:t xml:space="preserve"> и разрешения на отклонение от предельных параметров разрешённого строительства, реконструкции объектов капитального </w:t>
      </w:r>
      <w:r>
        <w:rPr>
          <w:rFonts w:ascii="Times New Roman" w:hAnsi="Times New Roman" w:cs="Times New Roman"/>
          <w:sz w:val="26"/>
          <w:szCs w:val="26"/>
        </w:rPr>
        <w:t>строительства осуществляются в порядке, установленном Градостроительным кодексом РФ.</w:t>
      </w:r>
    </w:p>
    <w:p>
      <w:pPr>
        <w:pStyle w:val="3"/>
      </w:pPr>
      <w:bookmarkStart w:id="133" w:name="_Toc22656447"/>
      <w:bookmarkStart w:id="134" w:name="_Toc80780336"/>
      <w:bookmarkStart w:id="135" w:name="_Toc99015361"/>
      <w:r>
        <w:t>Статья 22. Ответственность за нарушение Правил</w:t>
      </w:r>
      <w:bookmarkEnd w:id="133"/>
      <w:bookmarkEnd w:id="134"/>
      <w:bookmarkEnd w:id="135"/>
    </w:p>
    <w:p>
      <w:pPr>
        <w:tabs>
          <w:tab w:val="left" w:pos="791"/>
          <w:tab w:val="left" w:pos="851"/>
          <w:tab w:val="left" w:pos="900"/>
        </w:tabs>
        <w:ind w:left="-240" w:firstLine="720"/>
        <w:jc w:val="both"/>
        <w:rPr>
          <w:rFonts w:ascii="Times New Roman" w:hAnsi="Times New Roman" w:cs="Times New Roman"/>
          <w:sz w:val="26"/>
          <w:szCs w:val="26"/>
        </w:rPr>
      </w:pPr>
      <w:r>
        <w:rPr>
          <w:rFonts w:ascii="Times New Roman" w:hAnsi="Times New Roman" w:cs="Times New Roman"/>
          <w:sz w:val="26"/>
          <w:szCs w:val="26"/>
        </w:rPr>
        <w:t>Лица, виновные в нарушении настоящих Правил, несут дисциплинарную, имущественную, административную, уголовную и иную ответственность в соответствии с законодательством Российской Федерации и Чукотского автономного округа.</w:t>
      </w:r>
    </w:p>
    <w:p>
      <w:pPr>
        <w:rPr>
          <w:rFonts w:ascii="Times New Roman" w:eastAsiaTheme="majorEastAsia" w:hAnsi="Times New Roman" w:cstheme="majorBidi"/>
          <w:b/>
          <w:sz w:val="32"/>
          <w:szCs w:val="28"/>
        </w:rPr>
      </w:pPr>
      <w:bookmarkStart w:id="136" w:name="_Toc243142745"/>
      <w:bookmarkStart w:id="137" w:name="_Toc22656448"/>
      <w:r>
        <w:br w:type="page"/>
      </w:r>
    </w:p>
    <w:p>
      <w:pPr>
        <w:pStyle w:val="12"/>
      </w:pPr>
      <w:bookmarkStart w:id="138" w:name="_Toc80780337"/>
      <w:bookmarkStart w:id="139" w:name="_Toc99015362"/>
      <w:r>
        <w:lastRenderedPageBreak/>
        <w:t>ЧАСТЬ II. КАРТА ГРАДОСТРОИТЕЛЬНОГО ЗОНИРОВАНИЯ</w:t>
      </w:r>
      <w:bookmarkEnd w:id="136"/>
      <w:bookmarkEnd w:id="137"/>
      <w:bookmarkEnd w:id="138"/>
      <w:bookmarkEnd w:id="139"/>
    </w:p>
    <w:p>
      <w:pPr>
        <w:pStyle w:val="3"/>
      </w:pPr>
      <w:bookmarkStart w:id="140" w:name="_Toc243142746"/>
      <w:bookmarkStart w:id="141" w:name="_Toc22656449"/>
      <w:bookmarkStart w:id="142" w:name="_Toc80780338"/>
      <w:bookmarkStart w:id="143" w:name="_Toc99015363"/>
      <w:r>
        <w:t xml:space="preserve">Статья 23. </w:t>
      </w:r>
      <w:bookmarkEnd w:id="140"/>
      <w:r>
        <w:t>Содержание карты градостроительного зонирования</w:t>
      </w:r>
      <w:bookmarkEnd w:id="141"/>
      <w:bookmarkEnd w:id="142"/>
      <w:bookmarkEnd w:id="143"/>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bookmarkStart w:id="144" w:name="sub_1201"/>
      <w:r>
        <w:rPr>
          <w:rFonts w:ascii="Times New Roman" w:hAnsi="Times New Roman" w:cs="Times New Roman"/>
          <w:sz w:val="26"/>
          <w:szCs w:val="26"/>
        </w:rPr>
        <w:t>Карта градостроительного зонирования городского округа Анадырь представляет собой чертёж с отображением границ городского округа Анадырь, границ населённых пунктов, входящих в состав городского округа, границ территориальных зон, границ территорий объектов культурного наследия (памятников истории и культуры) народов РФ и границ зон с особыми условиями использования территории.</w:t>
      </w:r>
      <w:bookmarkStart w:id="145" w:name="sub_1203"/>
      <w:bookmarkEnd w:id="144"/>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r>
        <w:rPr>
          <w:rFonts w:ascii="Times New Roman" w:hAnsi="Times New Roman" w:cs="Times New Roman"/>
          <w:sz w:val="26"/>
          <w:szCs w:val="26"/>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14" w:history="1">
        <w:r>
          <w:rPr>
            <w:rFonts w:ascii="Times New Roman" w:hAnsi="Times New Roman" w:cs="Times New Roman"/>
            <w:sz w:val="26"/>
            <w:szCs w:val="26"/>
          </w:rPr>
          <w:t>законодательством</w:t>
        </w:r>
      </w:hyperlink>
      <w:r>
        <w:rPr>
          <w:rFonts w:ascii="Times New Roman" w:hAnsi="Times New Roman" w:cs="Times New Roman"/>
          <w:sz w:val="26"/>
          <w:szCs w:val="26"/>
        </w:rPr>
        <w:t xml:space="preserve"> могут пересекать границы территориальных зон.</w:t>
      </w:r>
    </w:p>
    <w:p>
      <w:pPr>
        <w:pStyle w:val="ad"/>
        <w:numPr>
          <w:ilvl w:val="0"/>
          <w:numId w:val="14"/>
        </w:numPr>
        <w:tabs>
          <w:tab w:val="left" w:pos="993"/>
          <w:tab w:val="left" w:pos="1134"/>
        </w:tabs>
        <w:spacing w:after="0" w:line="240" w:lineRule="auto"/>
        <w:ind w:left="-142" w:firstLine="851"/>
        <w:jc w:val="both"/>
        <w:rPr>
          <w:rFonts w:ascii="Times New Roman" w:hAnsi="Times New Roman" w:cs="Times New Roman"/>
          <w:sz w:val="26"/>
          <w:szCs w:val="26"/>
        </w:rPr>
      </w:pPr>
      <w:bookmarkStart w:id="146" w:name="sub_1204"/>
      <w:bookmarkEnd w:id="145"/>
      <w:r>
        <w:rPr>
          <w:rFonts w:ascii="Times New Roman" w:hAnsi="Times New Roman" w:cs="Times New Roman"/>
          <w:sz w:val="26"/>
          <w:szCs w:val="26"/>
        </w:rPr>
        <w:t>Границы территориальных зон устанавливаются с учётом:</w:t>
      </w:r>
    </w:p>
    <w:p>
      <w:pPr>
        <w:tabs>
          <w:tab w:val="left" w:pos="791"/>
          <w:tab w:val="left" w:pos="851"/>
          <w:tab w:val="left" w:pos="900"/>
        </w:tabs>
        <w:spacing w:after="0"/>
        <w:ind w:left="-240" w:firstLine="949"/>
        <w:jc w:val="both"/>
        <w:rPr>
          <w:rFonts w:ascii="Times New Roman" w:hAnsi="Times New Roman" w:cs="Times New Roman"/>
          <w:sz w:val="26"/>
          <w:szCs w:val="26"/>
        </w:rPr>
      </w:pPr>
      <w:bookmarkStart w:id="147" w:name="sub_12041"/>
      <w:bookmarkEnd w:id="146"/>
      <w:r>
        <w:rPr>
          <w:rFonts w:ascii="Times New Roman" w:hAnsi="Times New Roman" w:cs="Times New Roman"/>
          <w:sz w:val="26"/>
          <w:szCs w:val="26"/>
        </w:rPr>
        <w:t>1) возможности сочетания в пределах одной территориальной зоны различных видов существующего и планируемого использования земельных участков</w:t>
      </w:r>
      <w:bookmarkStart w:id="148" w:name="sub_12042"/>
      <w:bookmarkEnd w:id="147"/>
      <w:r>
        <w:rPr>
          <w:rFonts w:ascii="Times New Roman" w:hAnsi="Times New Roman" w:cs="Times New Roman"/>
          <w:sz w:val="26"/>
          <w:szCs w:val="26"/>
        </w:rPr>
        <w:t>;</w:t>
      </w:r>
    </w:p>
    <w:p>
      <w:pPr>
        <w:tabs>
          <w:tab w:val="left" w:pos="791"/>
          <w:tab w:val="left" w:pos="851"/>
          <w:tab w:val="left" w:pos="900"/>
        </w:tabs>
        <w:spacing w:after="0"/>
        <w:ind w:left="-240" w:firstLine="949"/>
        <w:jc w:val="both"/>
        <w:rPr>
          <w:rFonts w:ascii="Times New Roman" w:hAnsi="Times New Roman" w:cs="Times New Roman"/>
          <w:sz w:val="26"/>
          <w:szCs w:val="26"/>
        </w:rPr>
      </w:pPr>
      <w:r>
        <w:rPr>
          <w:rFonts w:ascii="Times New Roman" w:hAnsi="Times New Roman" w:cs="Times New Roman"/>
          <w:sz w:val="26"/>
          <w:szCs w:val="26"/>
        </w:rPr>
        <w:t>2) функциональных зон и параметров их планируемого развития, определенных генеральным планом городского округа Анадырь;</w:t>
      </w:r>
    </w:p>
    <w:p>
      <w:pPr>
        <w:tabs>
          <w:tab w:val="left" w:pos="791"/>
          <w:tab w:val="left" w:pos="851"/>
          <w:tab w:val="left" w:pos="900"/>
        </w:tabs>
        <w:spacing w:after="0"/>
        <w:ind w:left="-240" w:firstLine="949"/>
        <w:jc w:val="both"/>
        <w:rPr>
          <w:rFonts w:ascii="Times New Roman" w:hAnsi="Times New Roman" w:cs="Times New Roman"/>
          <w:sz w:val="26"/>
          <w:szCs w:val="26"/>
        </w:rPr>
      </w:pPr>
      <w:r>
        <w:rPr>
          <w:rFonts w:ascii="Times New Roman" w:hAnsi="Times New Roman" w:cs="Times New Roman"/>
          <w:sz w:val="26"/>
          <w:szCs w:val="26"/>
        </w:rPr>
        <w:t>3) территориальных зон, определенных действующим законодательством;</w:t>
      </w:r>
    </w:p>
    <w:p>
      <w:pPr>
        <w:tabs>
          <w:tab w:val="left" w:pos="791"/>
          <w:tab w:val="left" w:pos="851"/>
          <w:tab w:val="left" w:pos="900"/>
        </w:tabs>
        <w:spacing w:after="0"/>
        <w:ind w:left="-240" w:firstLine="949"/>
        <w:jc w:val="both"/>
        <w:rPr>
          <w:rFonts w:ascii="Times New Roman" w:hAnsi="Times New Roman" w:cs="Times New Roman"/>
          <w:sz w:val="26"/>
          <w:szCs w:val="26"/>
        </w:rPr>
      </w:pPr>
      <w:bookmarkStart w:id="149" w:name="sub_12043"/>
      <w:bookmarkEnd w:id="148"/>
      <w:r>
        <w:rPr>
          <w:rFonts w:ascii="Times New Roman" w:hAnsi="Times New Roman" w:cs="Times New Roman"/>
          <w:sz w:val="26"/>
          <w:szCs w:val="26"/>
        </w:rPr>
        <w:t>4) сложившейся планировки территории и существующего землепользования;</w:t>
      </w:r>
    </w:p>
    <w:p>
      <w:pPr>
        <w:tabs>
          <w:tab w:val="left" w:pos="791"/>
          <w:tab w:val="left" w:pos="851"/>
          <w:tab w:val="left" w:pos="900"/>
        </w:tabs>
        <w:spacing w:after="0"/>
        <w:ind w:left="-240" w:firstLine="949"/>
        <w:jc w:val="both"/>
        <w:rPr>
          <w:rFonts w:ascii="Times New Roman" w:hAnsi="Times New Roman" w:cs="Times New Roman"/>
          <w:sz w:val="26"/>
          <w:szCs w:val="26"/>
        </w:rPr>
      </w:pPr>
      <w:bookmarkStart w:id="150" w:name="sub_12044"/>
      <w:bookmarkEnd w:id="149"/>
      <w:r>
        <w:rPr>
          <w:rFonts w:ascii="Times New Roman" w:hAnsi="Times New Roman" w:cs="Times New Roman"/>
          <w:sz w:val="26"/>
          <w:szCs w:val="26"/>
        </w:rPr>
        <w:t>5)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pPr>
        <w:tabs>
          <w:tab w:val="left" w:pos="791"/>
          <w:tab w:val="left" w:pos="851"/>
          <w:tab w:val="left" w:pos="900"/>
        </w:tabs>
        <w:spacing w:after="0"/>
        <w:ind w:left="-240" w:firstLine="949"/>
        <w:jc w:val="both"/>
        <w:rPr>
          <w:rFonts w:ascii="Times New Roman" w:hAnsi="Times New Roman" w:cs="Times New Roman"/>
          <w:sz w:val="26"/>
          <w:szCs w:val="26"/>
        </w:rPr>
      </w:pPr>
      <w:bookmarkStart w:id="151" w:name="sub_12045"/>
      <w:bookmarkEnd w:id="150"/>
      <w:r>
        <w:rPr>
          <w:rFonts w:ascii="Times New Roman" w:hAnsi="Times New Roman" w:cs="Times New Roman"/>
          <w:sz w:val="26"/>
          <w:szCs w:val="26"/>
        </w:rPr>
        <w:t>6) предотвращения возможности причинения вреда объектам капитального строительства, расположенным на смежных земельных участках.</w:t>
      </w:r>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bookmarkStart w:id="152" w:name="sub_1205"/>
      <w:bookmarkEnd w:id="151"/>
      <w:r>
        <w:rPr>
          <w:rFonts w:ascii="Times New Roman" w:hAnsi="Times New Roman" w:cs="Times New Roman"/>
          <w:sz w:val="26"/>
          <w:szCs w:val="26"/>
        </w:rPr>
        <w:t>Границы территориальных зон могут устанавливаться по:</w:t>
      </w:r>
    </w:p>
    <w:p>
      <w:pPr>
        <w:pStyle w:val="ad"/>
        <w:autoSpaceDE w:val="0"/>
        <w:autoSpaceDN w:val="0"/>
        <w:adjustRightInd w:val="0"/>
        <w:ind w:left="-142" w:firstLine="851"/>
        <w:jc w:val="both"/>
        <w:rPr>
          <w:rFonts w:ascii="Times New Roman" w:hAnsi="Times New Roman" w:cs="Times New Roman"/>
          <w:sz w:val="26"/>
          <w:szCs w:val="26"/>
        </w:rPr>
      </w:pPr>
      <w:bookmarkStart w:id="153" w:name="sub_12057"/>
      <w:bookmarkEnd w:id="152"/>
      <w:r>
        <w:rPr>
          <w:rFonts w:ascii="Times New Roman" w:hAnsi="Times New Roman" w:cs="Times New Roman"/>
          <w:sz w:val="26"/>
          <w:szCs w:val="26"/>
        </w:rPr>
        <w:t>1) линиям магистралей, улиц, проездов, разделяющим транспортные потоки противоположных направлений;</w:t>
      </w:r>
    </w:p>
    <w:p>
      <w:pPr>
        <w:pStyle w:val="ad"/>
        <w:autoSpaceDE w:val="0"/>
        <w:autoSpaceDN w:val="0"/>
        <w:adjustRightInd w:val="0"/>
        <w:spacing w:before="260"/>
        <w:ind w:left="-142" w:firstLine="851"/>
        <w:jc w:val="both"/>
        <w:rPr>
          <w:rFonts w:ascii="Times New Roman" w:hAnsi="Times New Roman" w:cs="Times New Roman"/>
          <w:sz w:val="26"/>
          <w:szCs w:val="26"/>
        </w:rPr>
      </w:pPr>
      <w:r>
        <w:rPr>
          <w:rFonts w:ascii="Times New Roman" w:hAnsi="Times New Roman" w:cs="Times New Roman"/>
          <w:sz w:val="26"/>
          <w:szCs w:val="26"/>
        </w:rPr>
        <w:t>2) красным линиям;</w:t>
      </w:r>
    </w:p>
    <w:p>
      <w:pPr>
        <w:pStyle w:val="ad"/>
        <w:autoSpaceDE w:val="0"/>
        <w:autoSpaceDN w:val="0"/>
        <w:adjustRightInd w:val="0"/>
        <w:spacing w:before="260"/>
        <w:ind w:left="-142" w:firstLine="851"/>
        <w:jc w:val="both"/>
        <w:rPr>
          <w:rFonts w:ascii="Times New Roman" w:hAnsi="Times New Roman" w:cs="Times New Roman"/>
          <w:sz w:val="26"/>
          <w:szCs w:val="26"/>
        </w:rPr>
      </w:pPr>
      <w:r>
        <w:rPr>
          <w:rFonts w:ascii="Times New Roman" w:hAnsi="Times New Roman" w:cs="Times New Roman"/>
          <w:sz w:val="26"/>
          <w:szCs w:val="26"/>
        </w:rPr>
        <w:t>3) границам земельных участков;</w:t>
      </w:r>
    </w:p>
    <w:p>
      <w:pPr>
        <w:pStyle w:val="ad"/>
        <w:autoSpaceDE w:val="0"/>
        <w:autoSpaceDN w:val="0"/>
        <w:adjustRightInd w:val="0"/>
        <w:spacing w:before="260"/>
        <w:ind w:left="-142" w:firstLine="851"/>
        <w:jc w:val="both"/>
        <w:rPr>
          <w:rFonts w:ascii="Times New Roman" w:hAnsi="Times New Roman" w:cs="Times New Roman"/>
          <w:sz w:val="26"/>
          <w:szCs w:val="26"/>
        </w:rPr>
      </w:pPr>
      <w:r>
        <w:rPr>
          <w:rFonts w:ascii="Times New Roman" w:hAnsi="Times New Roman" w:cs="Times New Roman"/>
          <w:sz w:val="26"/>
          <w:szCs w:val="26"/>
        </w:rPr>
        <w:t>4) естественным границам природных объектов;</w:t>
      </w:r>
    </w:p>
    <w:p>
      <w:pPr>
        <w:pStyle w:val="ad"/>
        <w:autoSpaceDE w:val="0"/>
        <w:autoSpaceDN w:val="0"/>
        <w:adjustRightInd w:val="0"/>
        <w:spacing w:before="260"/>
        <w:ind w:left="-142" w:firstLine="851"/>
        <w:jc w:val="both"/>
        <w:rPr>
          <w:rFonts w:ascii="Times New Roman" w:hAnsi="Times New Roman" w:cs="Times New Roman"/>
          <w:sz w:val="26"/>
          <w:szCs w:val="26"/>
        </w:rPr>
      </w:pPr>
      <w:r>
        <w:rPr>
          <w:rFonts w:ascii="Times New Roman" w:hAnsi="Times New Roman" w:cs="Times New Roman"/>
          <w:sz w:val="26"/>
          <w:szCs w:val="26"/>
        </w:rPr>
        <w:t>5) иным границам.</w:t>
      </w:r>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bookmarkStart w:id="154" w:name="sub_1206"/>
      <w:bookmarkEnd w:id="153"/>
      <w:r>
        <w:rPr>
          <w:rFonts w:ascii="Times New Roman" w:hAnsi="Times New Roman" w:cs="Times New Roman"/>
          <w:sz w:val="26"/>
          <w:szCs w:val="26"/>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r>
        <w:rPr>
          <w:rFonts w:ascii="Times New Roman" w:hAnsi="Times New Roman" w:cs="Times New Roman"/>
          <w:sz w:val="26"/>
          <w:szCs w:val="26"/>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pPr>
        <w:pStyle w:val="ad"/>
        <w:numPr>
          <w:ilvl w:val="0"/>
          <w:numId w:val="14"/>
        </w:numPr>
        <w:tabs>
          <w:tab w:val="left" w:pos="851"/>
          <w:tab w:val="left" w:pos="900"/>
          <w:tab w:val="left" w:pos="993"/>
        </w:tabs>
        <w:spacing w:after="0" w:line="240" w:lineRule="auto"/>
        <w:ind w:left="-142" w:firstLine="851"/>
        <w:jc w:val="both"/>
        <w:rPr>
          <w:rFonts w:ascii="Times New Roman" w:hAnsi="Times New Roman" w:cs="Times New Roman"/>
          <w:sz w:val="26"/>
          <w:szCs w:val="26"/>
        </w:rPr>
      </w:pPr>
      <w:r>
        <w:rPr>
          <w:rFonts w:ascii="Times New Roman" w:hAnsi="Times New Roman" w:cs="Times New Roman"/>
          <w:sz w:val="26"/>
          <w:szCs w:val="26"/>
        </w:rPr>
        <w:t>Карта градостроительного зонирования является приложением к настоящим Правилам.</w:t>
      </w:r>
    </w:p>
    <w:bookmarkEnd w:id="6"/>
    <w:bookmarkEnd w:id="154"/>
    <w:p>
      <w:pPr>
        <w:rPr>
          <w:rFonts w:ascii="Times New Roman" w:eastAsiaTheme="majorEastAsia" w:hAnsi="Times New Roman" w:cstheme="majorBidi"/>
          <w:b/>
          <w:sz w:val="32"/>
          <w:szCs w:val="28"/>
        </w:rPr>
      </w:pPr>
      <w:r>
        <w:br w:type="page"/>
      </w:r>
    </w:p>
    <w:p>
      <w:pPr>
        <w:pStyle w:val="12"/>
        <w:ind w:left="840"/>
      </w:pPr>
      <w:bookmarkStart w:id="155" w:name="_Toc80780339"/>
      <w:bookmarkStart w:id="156" w:name="_Toc99015364"/>
      <w:r>
        <w:lastRenderedPageBreak/>
        <w:t>ЧАСТЬ I</w:t>
      </w:r>
      <w:r>
        <w:rPr>
          <w:lang w:val="en-US"/>
        </w:rPr>
        <w:t>I</w:t>
      </w:r>
      <w:r>
        <w:t>I. ГРАДОСТРОИТЕЛЬНЫЕ РЕГЛАМЕНТЫ</w:t>
      </w:r>
      <w:bookmarkEnd w:id="155"/>
      <w:bookmarkEnd w:id="156"/>
    </w:p>
    <w:p>
      <w:pPr>
        <w:pStyle w:val="2"/>
      </w:pPr>
      <w:bookmarkStart w:id="157" w:name="_Toc36136964"/>
      <w:bookmarkStart w:id="158" w:name="_Toc80780340"/>
      <w:bookmarkStart w:id="159" w:name="_Toc99015365"/>
      <w:bookmarkStart w:id="160" w:name="_Toc216593036"/>
      <w:bookmarkStart w:id="161" w:name="_Toc216594549"/>
      <w:bookmarkStart w:id="162" w:name="_Toc216596202"/>
      <w:bookmarkStart w:id="163" w:name="_Toc217198913"/>
      <w:bookmarkStart w:id="164" w:name="_Toc242154112"/>
      <w:bookmarkStart w:id="165" w:name="_Toc243400518"/>
      <w:bookmarkStart w:id="166" w:name="_Toc292296135"/>
      <w:bookmarkStart w:id="167" w:name="_Toc504495073"/>
      <w:bookmarkStart w:id="168" w:name="_Toc243400582"/>
      <w:bookmarkStart w:id="169" w:name="_Toc428380175"/>
      <w:bookmarkStart w:id="170" w:name="_Toc216592479"/>
      <w:bookmarkStart w:id="171" w:name="_Toc216593096"/>
      <w:bookmarkStart w:id="172" w:name="_Toc216594629"/>
      <w:bookmarkStart w:id="173" w:name="_Toc216596277"/>
      <w:bookmarkStart w:id="174" w:name="_Toc217198982"/>
      <w:bookmarkStart w:id="175" w:name="_Toc242154174"/>
      <w:r>
        <w:t>ГЛАВА 7. Градостроительные регламенты по видам и параметрам разрешенного использования земельных участков</w:t>
      </w:r>
      <w:bookmarkEnd w:id="157"/>
      <w:bookmarkEnd w:id="158"/>
      <w:bookmarkEnd w:id="159"/>
      <w:r>
        <w:t xml:space="preserve"> </w:t>
      </w:r>
    </w:p>
    <w:p>
      <w:pPr>
        <w:pStyle w:val="3"/>
        <w:jc w:val="left"/>
        <w:rPr>
          <w:rFonts w:eastAsia="Times New Roman"/>
          <w:lang w:eastAsia="ru-RU"/>
        </w:rPr>
      </w:pPr>
      <w:bookmarkStart w:id="176" w:name="_Toc504495074"/>
      <w:bookmarkStart w:id="177" w:name="_Toc36136965"/>
      <w:bookmarkStart w:id="178" w:name="_Toc80780341"/>
      <w:bookmarkStart w:id="179" w:name="_Toc99015366"/>
      <w:bookmarkEnd w:id="160"/>
      <w:bookmarkEnd w:id="161"/>
      <w:bookmarkEnd w:id="162"/>
      <w:bookmarkEnd w:id="163"/>
      <w:bookmarkEnd w:id="164"/>
      <w:bookmarkEnd w:id="165"/>
      <w:bookmarkEnd w:id="166"/>
      <w:bookmarkEnd w:id="167"/>
      <w:r>
        <w:rPr>
          <w:rFonts w:eastAsia="Times New Roman"/>
          <w:lang w:eastAsia="ru-RU"/>
        </w:rPr>
        <w:t>Статья 24. Общие положения</w:t>
      </w:r>
      <w:bookmarkEnd w:id="168"/>
      <w:bookmarkEnd w:id="169"/>
      <w:bookmarkEnd w:id="176"/>
      <w:bookmarkEnd w:id="177"/>
      <w:bookmarkEnd w:id="178"/>
      <w:bookmarkEnd w:id="179"/>
    </w:p>
    <w:p>
      <w:pPr>
        <w:spacing w:after="0" w:line="240" w:lineRule="auto"/>
        <w:rPr>
          <w:rFonts w:ascii="Times New Roman" w:eastAsia="Times New Roman" w:hAnsi="Times New Roman" w:cs="Times New Roman"/>
          <w:sz w:val="28"/>
          <w:szCs w:val="28"/>
          <w:lang w:eastAsia="ru-RU"/>
        </w:rPr>
      </w:pPr>
    </w:p>
    <w:p>
      <w:pPr>
        <w:spacing w:after="0" w:line="240" w:lineRule="auto"/>
        <w:ind w:firstLine="708"/>
        <w:jc w:val="both"/>
        <w:rPr>
          <w:rFonts w:ascii="Times New Roman" w:eastAsia="Times New Roman" w:hAnsi="Times New Roman" w:cs="Times New Roman"/>
          <w:bCs/>
          <w:sz w:val="26"/>
          <w:szCs w:val="26"/>
          <w:lang w:eastAsia="ru-RU"/>
        </w:rPr>
      </w:pPr>
      <w:bookmarkStart w:id="180" w:name="_Toc428380176"/>
      <w:bookmarkEnd w:id="170"/>
      <w:bookmarkEnd w:id="171"/>
      <w:bookmarkEnd w:id="172"/>
      <w:bookmarkEnd w:id="173"/>
      <w:bookmarkEnd w:id="174"/>
      <w:bookmarkEnd w:id="175"/>
      <w:r>
        <w:rPr>
          <w:rFonts w:ascii="Times New Roman" w:eastAsia="Times New Roman" w:hAnsi="Times New Roman" w:cs="Times New Roman"/>
          <w:bCs/>
          <w:sz w:val="26"/>
          <w:szCs w:val="26"/>
          <w:lang w:eastAsia="ru-RU"/>
        </w:rPr>
        <w:t xml:space="preserve">1. В составе градостроительных регламентов используются наименования видов разрешенного использования земельных участков, их описание, коды (числовые обозначения) видов, указанные в приложении к </w:t>
      </w:r>
      <w:hyperlink r:id="rId15" w:history="1">
        <w:r>
          <w:rPr>
            <w:rFonts w:ascii="Times New Roman" w:eastAsia="Times New Roman" w:hAnsi="Times New Roman" w:cs="Times New Roman"/>
            <w:bCs/>
            <w:sz w:val="26"/>
            <w:szCs w:val="26"/>
            <w:lang w:eastAsia="ru-RU"/>
          </w:rPr>
          <w:t>Приказу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w:t>
        </w:r>
        <w:bookmarkEnd w:id="180"/>
        <w:r>
          <w:rPr>
            <w:rFonts w:ascii="Times New Roman" w:eastAsia="Times New Roman" w:hAnsi="Times New Roman" w:cs="Times New Roman"/>
            <w:bCs/>
            <w:sz w:val="26"/>
            <w:szCs w:val="26"/>
            <w:lang w:eastAsia="ru-RU"/>
          </w:rPr>
          <w:t>»</w:t>
        </w:r>
      </w:hyperlink>
      <w:r>
        <w:rPr>
          <w:rFonts w:ascii="Times New Roman" w:eastAsia="Times New Roman" w:hAnsi="Times New Roman" w:cs="Times New Roman"/>
          <w:bCs/>
          <w:sz w:val="26"/>
          <w:szCs w:val="26"/>
          <w:lang w:eastAsia="ru-RU"/>
        </w:rPr>
        <w:t>.</w:t>
      </w:r>
    </w:p>
    <w:p>
      <w:pPr>
        <w:spacing w:after="0" w:line="240" w:lineRule="auto"/>
        <w:ind w:firstLine="708"/>
        <w:jc w:val="both"/>
        <w:rPr>
          <w:rFonts w:ascii="Times New Roman" w:eastAsia="Times New Roman" w:hAnsi="Times New Roman" w:cs="Times New Roman"/>
          <w:bCs/>
          <w:sz w:val="26"/>
          <w:szCs w:val="26"/>
          <w:lang w:eastAsia="ru-RU"/>
        </w:rPr>
      </w:pPr>
      <w:bookmarkStart w:id="181" w:name="_Toc428380177"/>
      <w:r>
        <w:rPr>
          <w:rFonts w:ascii="Times New Roman" w:eastAsia="Times New Roman" w:hAnsi="Times New Roman" w:cs="Times New Roman"/>
          <w:bCs/>
          <w:sz w:val="26"/>
          <w:szCs w:val="26"/>
          <w:lang w:eastAsia="ru-RU"/>
        </w:rPr>
        <w:t>2. Разрешенное использование земельных участков и объектов капитального строительства может быть следующих видов:</w:t>
      </w:r>
      <w:bookmarkEnd w:id="181"/>
    </w:p>
    <w:p>
      <w:pPr>
        <w:numPr>
          <w:ilvl w:val="3"/>
          <w:numId w:val="15"/>
        </w:numPr>
        <w:tabs>
          <w:tab w:val="num" w:pos="900"/>
          <w:tab w:val="left" w:pos="1080"/>
        </w:tabs>
        <w:spacing w:after="0" w:line="240" w:lineRule="auto"/>
        <w:ind w:left="0"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основные виды разрешенного использования;</w:t>
      </w:r>
    </w:p>
    <w:p>
      <w:pPr>
        <w:numPr>
          <w:ilvl w:val="3"/>
          <w:numId w:val="15"/>
        </w:numPr>
        <w:tabs>
          <w:tab w:val="num" w:pos="900"/>
          <w:tab w:val="left" w:pos="1080"/>
        </w:tabs>
        <w:spacing w:after="0" w:line="240" w:lineRule="auto"/>
        <w:ind w:left="0"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условно разрешенные виды использования;</w:t>
      </w:r>
    </w:p>
    <w:p>
      <w:pPr>
        <w:numPr>
          <w:ilvl w:val="3"/>
          <w:numId w:val="15"/>
        </w:numPr>
        <w:tabs>
          <w:tab w:val="num" w:pos="900"/>
          <w:tab w:val="left" w:pos="1080"/>
        </w:tabs>
        <w:spacing w:after="0" w:line="240" w:lineRule="auto"/>
        <w:ind w:left="0"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pPr>
        <w:spacing w:after="0" w:line="240" w:lineRule="auto"/>
        <w:ind w:firstLine="708"/>
        <w:jc w:val="both"/>
        <w:rPr>
          <w:rFonts w:ascii="Times New Roman" w:eastAsia="Times New Roman" w:hAnsi="Times New Roman" w:cs="Times New Roman"/>
          <w:bCs/>
          <w:sz w:val="26"/>
          <w:szCs w:val="26"/>
          <w:lang w:eastAsia="ru-RU"/>
        </w:rPr>
      </w:pPr>
      <w:bookmarkStart w:id="182" w:name="p1059"/>
      <w:bookmarkStart w:id="183" w:name="_Toc428380178"/>
      <w:bookmarkEnd w:id="182"/>
      <w:r>
        <w:rPr>
          <w:rFonts w:ascii="Times New Roman" w:eastAsia="Times New Roman" w:hAnsi="Times New Roman" w:cs="Times New Roman"/>
          <w:bCs/>
          <w:sz w:val="26"/>
          <w:szCs w:val="26"/>
          <w:lang w:eastAsia="ru-RU"/>
        </w:rPr>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bookmarkEnd w:id="183"/>
    </w:p>
    <w:p>
      <w:pPr>
        <w:spacing w:after="0" w:line="240" w:lineRule="auto"/>
        <w:ind w:firstLine="680"/>
        <w:jc w:val="both"/>
        <w:rPr>
          <w:rFonts w:ascii="Times New Roman" w:eastAsia="Times New Roman" w:hAnsi="Times New Roman" w:cs="Times New Roman"/>
          <w:bCs/>
          <w:sz w:val="26"/>
          <w:szCs w:val="26"/>
          <w:lang w:eastAsia="ru-RU"/>
        </w:rPr>
      </w:pPr>
      <w:bookmarkStart w:id="184" w:name="_Toc428380179"/>
      <w:r>
        <w:rPr>
          <w:rFonts w:ascii="Times New Roman" w:eastAsia="Times New Roman" w:hAnsi="Times New Roman" w:cs="Times New Roman"/>
          <w:bCs/>
          <w:sz w:val="26"/>
          <w:szCs w:val="26"/>
          <w:lang w:eastAsia="ru-RU"/>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bookmarkEnd w:id="184"/>
    </w:p>
    <w:p>
      <w:pPr>
        <w:spacing w:after="0" w:line="240" w:lineRule="auto"/>
        <w:ind w:firstLine="680"/>
        <w:jc w:val="both"/>
        <w:rPr>
          <w:rFonts w:ascii="Times New Roman" w:eastAsia="Times New Roman" w:hAnsi="Times New Roman" w:cs="Times New Roman"/>
          <w:sz w:val="26"/>
          <w:szCs w:val="26"/>
          <w:lang w:eastAsia="ru-RU"/>
        </w:rPr>
      </w:pPr>
      <w:bookmarkStart w:id="185" w:name="p1061"/>
      <w:bookmarkEnd w:id="185"/>
      <w:r>
        <w:rPr>
          <w:rFonts w:ascii="Times New Roman" w:eastAsia="Times New Roman" w:hAnsi="Times New Roman" w:cs="Times New Roman"/>
          <w:sz w:val="26"/>
          <w:szCs w:val="26"/>
          <w:lang w:eastAsia="ru-RU"/>
        </w:rPr>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pPr>
        <w:spacing w:after="0" w:line="240" w:lineRule="auto"/>
        <w:ind w:firstLine="6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pPr>
        <w:spacing w:after="0" w:line="240" w:lineRule="auto"/>
        <w:ind w:firstLine="680"/>
        <w:jc w:val="both"/>
        <w:rPr>
          <w:rFonts w:ascii="Times New Roman" w:eastAsia="Times New Roman" w:hAnsi="Times New Roman" w:cs="Times New Roman"/>
          <w:sz w:val="26"/>
          <w:szCs w:val="26"/>
          <w:lang w:eastAsia="ru-RU"/>
        </w:rPr>
      </w:pPr>
      <w:bookmarkStart w:id="186" w:name="p1063"/>
      <w:bookmarkStart w:id="187" w:name="p1064"/>
      <w:bookmarkEnd w:id="186"/>
      <w:bookmarkEnd w:id="187"/>
      <w:r>
        <w:rPr>
          <w:rFonts w:ascii="Times New Roman" w:eastAsia="Times New Roman" w:hAnsi="Times New Roman" w:cs="Times New Roman"/>
          <w:sz w:val="26"/>
          <w:szCs w:val="26"/>
          <w:lang w:eastAsia="ru-RU"/>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pPr>
        <w:spacing w:after="0" w:line="240" w:lineRule="auto"/>
        <w:ind w:firstLine="6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r>
        <w:rPr>
          <w:rFonts w:ascii="Times New Roman" w:eastAsia="Times New Roman" w:hAnsi="Times New Roman" w:cs="Times New Roman"/>
          <w:b/>
          <w:sz w:val="28"/>
          <w:szCs w:val="28"/>
          <w:lang w:eastAsia="ru-RU"/>
        </w:rPr>
        <w:lastRenderedPageBreak/>
        <w:t>Перечень территориальных зон, выделенных на карте градостроительного зонирования территории</w:t>
      </w:r>
    </w:p>
    <w:p>
      <w:pPr>
        <w:spacing w:after="0" w:line="240" w:lineRule="auto"/>
        <w:ind w:firstLine="680"/>
        <w:jc w:val="both"/>
        <w:rPr>
          <w:rFonts w:ascii="Times New Roman" w:eastAsia="Times New Roman" w:hAnsi="Times New Roman" w:cs="Times New Roman"/>
          <w:sz w:val="28"/>
          <w:szCs w:val="28"/>
          <w:lang w:eastAsia="ru-RU"/>
        </w:rPr>
      </w:pPr>
    </w:p>
    <w:tbl>
      <w:tblPr>
        <w:tblW w:w="49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40"/>
        <w:gridCol w:w="8945"/>
      </w:tblGrid>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b/>
                <w:sz w:val="24"/>
                <w:lang w:eastAsia="ru-RU"/>
              </w:rPr>
            </w:pPr>
            <w:r>
              <w:rPr>
                <w:rFonts w:ascii="Times New Roman" w:eastAsia="Calibri" w:hAnsi="Times New Roman" w:cs="Times New Roman"/>
                <w:b/>
                <w:sz w:val="24"/>
                <w:lang w:eastAsia="ru-RU"/>
              </w:rPr>
              <w:t>Индекс</w:t>
            </w:r>
          </w:p>
        </w:tc>
        <w:tc>
          <w:tcPr>
            <w:tcW w:w="4435" w:type="pct"/>
            <w:shd w:val="clear" w:color="auto" w:fill="auto"/>
            <w:vAlign w:val="center"/>
          </w:tcPr>
          <w:p>
            <w:pPr>
              <w:spacing w:after="0" w:line="240" w:lineRule="auto"/>
              <w:jc w:val="center"/>
              <w:rPr>
                <w:rFonts w:ascii="Times New Roman" w:eastAsia="Calibri" w:hAnsi="Times New Roman" w:cs="Times New Roman"/>
                <w:b/>
                <w:sz w:val="24"/>
                <w:lang w:eastAsia="ru-RU"/>
              </w:rPr>
            </w:pPr>
            <w:r>
              <w:rPr>
                <w:rFonts w:ascii="Times New Roman" w:eastAsia="Calibri" w:hAnsi="Times New Roman" w:cs="Times New Roman"/>
                <w:b/>
                <w:sz w:val="24"/>
                <w:lang w:eastAsia="ru-RU"/>
              </w:rPr>
              <w:t>Наименование территориальных зон</w:t>
            </w:r>
          </w:p>
        </w:tc>
      </w:tr>
      <w:tr>
        <w:trPr>
          <w:trHeight w:val="454"/>
        </w:trPr>
        <w:tc>
          <w:tcPr>
            <w:tcW w:w="5000" w:type="pct"/>
            <w:gridSpan w:val="2"/>
            <w:shd w:val="clear" w:color="auto" w:fill="auto"/>
            <w:vAlign w:val="center"/>
          </w:tcPr>
          <w:p>
            <w:pPr>
              <w:spacing w:after="0" w:line="240" w:lineRule="auto"/>
              <w:jc w:val="center"/>
              <w:rPr>
                <w:rFonts w:ascii="Times New Roman" w:eastAsia="Calibri" w:hAnsi="Times New Roman" w:cs="Times New Roman"/>
                <w:iCs/>
                <w:sz w:val="24"/>
                <w:lang w:eastAsia="ru-RU"/>
              </w:rPr>
            </w:pPr>
            <w:r>
              <w:rPr>
                <w:rFonts w:ascii="Times New Roman" w:eastAsia="Calibri" w:hAnsi="Times New Roman" w:cs="Times New Roman"/>
                <w:b/>
                <w:sz w:val="24"/>
                <w:lang w:eastAsia="ru-RU"/>
              </w:rPr>
              <w:t>Жилые зоны</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Ж-1</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застройки индивидуальными жилыми домами</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Ж-2</w:t>
            </w:r>
          </w:p>
        </w:tc>
        <w:tc>
          <w:tcPr>
            <w:tcW w:w="4435" w:type="pct"/>
            <w:shd w:val="clear" w:color="auto" w:fill="auto"/>
            <w:vAlign w:val="center"/>
          </w:tcPr>
          <w:p>
            <w:pPr>
              <w:autoSpaceDE w:val="0"/>
              <w:autoSpaceDN w:val="0"/>
              <w:adjustRightInd w:val="0"/>
              <w:spacing w:after="0" w:line="240" w:lineRule="auto"/>
              <w:contextualSpacing/>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застройки малоэтажными жилыми домами</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Ж-3</w:t>
            </w:r>
          </w:p>
        </w:tc>
        <w:tc>
          <w:tcPr>
            <w:tcW w:w="4435" w:type="pct"/>
            <w:shd w:val="clear" w:color="auto" w:fill="auto"/>
            <w:vAlign w:val="center"/>
          </w:tcPr>
          <w:p>
            <w:pPr>
              <w:keepNext/>
              <w:spacing w:after="0" w:line="240" w:lineRule="auto"/>
              <w:outlineLvl w:val="2"/>
              <w:rPr>
                <w:rFonts w:ascii="Times New Roman" w:eastAsia="Times New Roman" w:hAnsi="Times New Roman" w:cs="Times New Roman"/>
                <w:sz w:val="26"/>
                <w:szCs w:val="26"/>
                <w:lang w:eastAsia="ru-RU"/>
              </w:rPr>
            </w:pPr>
            <w:bookmarkStart w:id="188" w:name="_Toc36136966"/>
            <w:bookmarkStart w:id="189" w:name="_Toc80780342"/>
            <w:bookmarkStart w:id="190" w:name="_Toc99015367"/>
            <w:r>
              <w:rPr>
                <w:rFonts w:ascii="Times New Roman" w:eastAsia="Times New Roman" w:hAnsi="Times New Roman" w:cs="Times New Roman"/>
                <w:sz w:val="26"/>
                <w:szCs w:val="26"/>
                <w:lang w:eastAsia="ru-RU"/>
              </w:rPr>
              <w:t>Зона застройки среднеэтажными жилыми домами</w:t>
            </w:r>
            <w:bookmarkEnd w:id="188"/>
            <w:bookmarkEnd w:id="189"/>
            <w:bookmarkEnd w:id="190"/>
          </w:p>
        </w:tc>
      </w:tr>
      <w:tr>
        <w:trPr>
          <w:trHeight w:val="454"/>
        </w:trPr>
        <w:tc>
          <w:tcPr>
            <w:tcW w:w="5000" w:type="pct"/>
            <w:gridSpan w:val="2"/>
            <w:shd w:val="clear" w:color="auto" w:fill="auto"/>
            <w:vAlign w:val="center"/>
          </w:tcPr>
          <w:p>
            <w:pPr>
              <w:spacing w:after="0" w:line="240" w:lineRule="auto"/>
              <w:jc w:val="center"/>
              <w:rPr>
                <w:rFonts w:ascii="Times New Roman" w:eastAsia="Calibri" w:hAnsi="Times New Roman" w:cs="Times New Roman"/>
                <w:iCs/>
                <w:sz w:val="24"/>
                <w:lang w:eastAsia="ru-RU"/>
              </w:rPr>
            </w:pPr>
            <w:r>
              <w:rPr>
                <w:rFonts w:ascii="Times New Roman" w:eastAsia="Calibri" w:hAnsi="Times New Roman" w:cs="Times New Roman"/>
                <w:b/>
                <w:sz w:val="24"/>
                <w:lang w:eastAsia="ru-RU"/>
              </w:rPr>
              <w:t>Общественно-деловые зоны</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ОД-1</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делового, общественного и коммерческого назначения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ОД-2</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191" w:name="_Toc36136967"/>
            <w:bookmarkStart w:id="192" w:name="_Toc80780343"/>
            <w:r>
              <w:rPr>
                <w:rFonts w:ascii="Times New Roman" w:eastAsia="Times New Roman" w:hAnsi="Times New Roman" w:cs="Times New Roman"/>
                <w:sz w:val="26"/>
                <w:szCs w:val="26"/>
                <w:lang w:eastAsia="ru-RU"/>
              </w:rPr>
              <w:t>Зона размещения объектов социального и коммунально-бытового назначения</w:t>
            </w:r>
            <w:bookmarkEnd w:id="191"/>
            <w:bookmarkEnd w:id="192"/>
          </w:p>
        </w:tc>
      </w:tr>
      <w:tr>
        <w:trPr>
          <w:trHeight w:val="454"/>
        </w:trPr>
        <w:tc>
          <w:tcPr>
            <w:tcW w:w="5000" w:type="pct"/>
            <w:gridSpan w:val="2"/>
            <w:shd w:val="clear" w:color="auto" w:fill="auto"/>
            <w:vAlign w:val="center"/>
          </w:tcPr>
          <w:p>
            <w:pPr>
              <w:spacing w:after="0" w:line="240" w:lineRule="auto"/>
              <w:jc w:val="center"/>
              <w:rPr>
                <w:rFonts w:ascii="Times New Roman" w:eastAsia="Calibri" w:hAnsi="Times New Roman" w:cs="Times New Roman"/>
                <w:iCs/>
                <w:sz w:val="24"/>
                <w:lang w:eastAsia="ru-RU"/>
              </w:rPr>
            </w:pPr>
            <w:r>
              <w:rPr>
                <w:rFonts w:ascii="Times New Roman" w:eastAsia="Calibri" w:hAnsi="Times New Roman" w:cs="Times New Roman"/>
                <w:b/>
                <w:sz w:val="24"/>
                <w:lang w:eastAsia="ru-RU"/>
              </w:rPr>
              <w:t>Производственные зоны</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П</w:t>
            </w:r>
          </w:p>
        </w:tc>
        <w:tc>
          <w:tcPr>
            <w:tcW w:w="4435" w:type="pct"/>
            <w:shd w:val="clear" w:color="auto" w:fill="auto"/>
            <w:vAlign w:val="center"/>
          </w:tcPr>
          <w:p>
            <w:pPr>
              <w:autoSpaceDE w:val="0"/>
              <w:autoSpaceDN w:val="0"/>
              <w:adjustRightInd w:val="0"/>
              <w:spacing w:after="0" w:line="240" w:lineRule="auto"/>
              <w:contextualSpacing/>
              <w:rPr>
                <w:rFonts w:ascii="Times New Roman" w:eastAsia="Calibri" w:hAnsi="Times New Roman" w:cs="Times New Roman"/>
                <w:sz w:val="24"/>
                <w:lang w:eastAsia="ru-RU"/>
              </w:rPr>
            </w:pPr>
            <w:r>
              <w:rPr>
                <w:rFonts w:ascii="Times New Roman" w:eastAsia="Calibri" w:hAnsi="Times New Roman" w:cs="Times New Roman"/>
                <w:sz w:val="24"/>
                <w:lang w:eastAsia="ru-RU"/>
              </w:rPr>
              <w:t>Зона производственно-коммунальных объектов</w:t>
            </w:r>
          </w:p>
        </w:tc>
      </w:tr>
      <w:tr>
        <w:trPr>
          <w:trHeight w:val="454"/>
        </w:trPr>
        <w:tc>
          <w:tcPr>
            <w:tcW w:w="5000" w:type="pct"/>
            <w:gridSpan w:val="2"/>
            <w:shd w:val="clear" w:color="auto" w:fill="auto"/>
            <w:vAlign w:val="center"/>
          </w:tcPr>
          <w:p>
            <w:pPr>
              <w:spacing w:after="0" w:line="240" w:lineRule="auto"/>
              <w:jc w:val="center"/>
              <w:rPr>
                <w:rFonts w:ascii="Times New Roman" w:eastAsia="Calibri" w:hAnsi="Times New Roman" w:cs="Times New Roman"/>
                <w:iCs/>
                <w:sz w:val="24"/>
                <w:lang w:eastAsia="ru-RU"/>
              </w:rPr>
            </w:pPr>
            <w:r>
              <w:rPr>
                <w:rFonts w:ascii="Times New Roman" w:eastAsia="Calibri" w:hAnsi="Times New Roman" w:cs="Times New Roman"/>
                <w:b/>
                <w:sz w:val="24"/>
                <w:lang w:eastAsia="ru-RU"/>
              </w:rPr>
              <w:t>Зоны инженерной и транспортной инфраструктур</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И</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193" w:name="_Toc36136969"/>
            <w:bookmarkStart w:id="194" w:name="_Toc80780344"/>
            <w:r>
              <w:rPr>
                <w:rFonts w:ascii="Times New Roman" w:eastAsia="Times New Roman" w:hAnsi="Times New Roman" w:cs="Times New Roman"/>
                <w:sz w:val="26"/>
                <w:szCs w:val="26"/>
                <w:lang w:eastAsia="ru-RU"/>
              </w:rPr>
              <w:t>Зона объектов инженерной инфраструктуры</w:t>
            </w:r>
            <w:bookmarkEnd w:id="193"/>
            <w:bookmarkEnd w:id="194"/>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Т-1</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195" w:name="_Toc36136970"/>
            <w:bookmarkStart w:id="196" w:name="_Toc80780345"/>
            <w:r>
              <w:rPr>
                <w:rFonts w:ascii="Times New Roman" w:eastAsia="Times New Roman" w:hAnsi="Times New Roman" w:cs="Times New Roman"/>
                <w:sz w:val="26"/>
                <w:szCs w:val="26"/>
                <w:lang w:eastAsia="ru-RU"/>
              </w:rPr>
              <w:t>Зона объектов транспортной инфраструктуры</w:t>
            </w:r>
            <w:bookmarkEnd w:id="195"/>
            <w:bookmarkEnd w:id="196"/>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Т-2</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197" w:name="_Toc80780346"/>
            <w:r>
              <w:rPr>
                <w:rFonts w:ascii="Times New Roman" w:eastAsia="Times New Roman" w:hAnsi="Times New Roman" w:cs="Times New Roman"/>
                <w:sz w:val="26"/>
                <w:szCs w:val="26"/>
                <w:lang w:eastAsia="ru-RU"/>
              </w:rPr>
              <w:t>Зона объектов воздушного транспорта</w:t>
            </w:r>
            <w:bookmarkEnd w:id="197"/>
          </w:p>
        </w:tc>
      </w:tr>
      <w:tr>
        <w:trPr>
          <w:trHeight w:val="454"/>
        </w:trPr>
        <w:tc>
          <w:tcPr>
            <w:tcW w:w="5000" w:type="pct"/>
            <w:gridSpan w:val="2"/>
            <w:shd w:val="clear" w:color="auto" w:fill="auto"/>
            <w:vAlign w:val="center"/>
          </w:tcPr>
          <w:p>
            <w:pPr>
              <w:spacing w:after="0" w:line="240" w:lineRule="auto"/>
              <w:jc w:val="center"/>
              <w:rPr>
                <w:rFonts w:ascii="Times New Roman" w:eastAsia="Calibri" w:hAnsi="Times New Roman" w:cs="Times New Roman"/>
                <w:iCs/>
                <w:sz w:val="24"/>
                <w:lang w:eastAsia="ru-RU"/>
              </w:rPr>
            </w:pPr>
            <w:r>
              <w:rPr>
                <w:rFonts w:ascii="Times New Roman" w:eastAsia="Calibri" w:hAnsi="Times New Roman" w:cs="Times New Roman"/>
                <w:b/>
                <w:sz w:val="24"/>
                <w:lang w:eastAsia="ru-RU"/>
              </w:rPr>
              <w:t>Зона сельскохозяйственного использования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СХ</w:t>
            </w:r>
          </w:p>
        </w:tc>
        <w:tc>
          <w:tcPr>
            <w:tcW w:w="4435" w:type="pct"/>
            <w:shd w:val="clear" w:color="auto" w:fill="auto"/>
            <w:vAlign w:val="center"/>
          </w:tcPr>
          <w:p>
            <w:pPr>
              <w:spacing w:after="0" w:line="240" w:lineRule="auto"/>
              <w:rPr>
                <w:rFonts w:ascii="Times New Roman" w:eastAsia="Calibri" w:hAnsi="Times New Roman" w:cs="Times New Roman"/>
                <w:sz w:val="24"/>
                <w:lang w:eastAsia="ru-RU"/>
              </w:rPr>
            </w:pPr>
            <w:r>
              <w:rPr>
                <w:rFonts w:ascii="Times New Roman" w:eastAsia="Times New Roman" w:hAnsi="Times New Roman" w:cs="Times New Roman"/>
                <w:sz w:val="26"/>
                <w:szCs w:val="26"/>
                <w:lang w:eastAsia="ru-RU"/>
              </w:rPr>
              <w:t>Зона объектов сельскохозяйственного назначения</w:t>
            </w:r>
          </w:p>
        </w:tc>
      </w:tr>
      <w:tr>
        <w:trPr>
          <w:trHeight w:val="454"/>
        </w:trPr>
        <w:tc>
          <w:tcPr>
            <w:tcW w:w="5000" w:type="pct"/>
            <w:gridSpan w:val="2"/>
            <w:shd w:val="clear" w:color="auto" w:fill="auto"/>
            <w:vAlign w:val="center"/>
          </w:tcPr>
          <w:p>
            <w:pPr>
              <w:autoSpaceDE w:val="0"/>
              <w:autoSpaceDN w:val="0"/>
              <w:adjustRightInd w:val="0"/>
              <w:spacing w:after="0" w:line="240" w:lineRule="auto"/>
              <w:contextualSpacing/>
              <w:jc w:val="center"/>
              <w:rPr>
                <w:rFonts w:ascii="Times New Roman" w:eastAsia="Calibri" w:hAnsi="Times New Roman" w:cs="Times New Roman"/>
                <w:sz w:val="24"/>
                <w:lang w:eastAsia="ru-RU"/>
              </w:rPr>
            </w:pPr>
            <w:r>
              <w:rPr>
                <w:rFonts w:ascii="Times New Roman" w:eastAsia="Calibri" w:hAnsi="Times New Roman" w:cs="Times New Roman"/>
                <w:b/>
                <w:sz w:val="24"/>
                <w:lang w:eastAsia="ru-RU"/>
              </w:rPr>
              <w:t>Зоны рекреационного назначения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Р-1</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зеленых насаждений общего пользования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Р-2</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рекреационного назначения</w:t>
            </w:r>
          </w:p>
        </w:tc>
      </w:tr>
      <w:tr>
        <w:trPr>
          <w:trHeight w:val="454"/>
        </w:trPr>
        <w:tc>
          <w:tcPr>
            <w:tcW w:w="5000" w:type="pct"/>
            <w:gridSpan w:val="2"/>
            <w:shd w:val="clear" w:color="auto" w:fill="auto"/>
            <w:vAlign w:val="center"/>
          </w:tcPr>
          <w:p>
            <w:pPr>
              <w:autoSpaceDE w:val="0"/>
              <w:autoSpaceDN w:val="0"/>
              <w:adjustRightInd w:val="0"/>
              <w:spacing w:after="0" w:line="240" w:lineRule="auto"/>
              <w:contextualSpacing/>
              <w:jc w:val="center"/>
              <w:rPr>
                <w:rFonts w:ascii="Times New Roman" w:eastAsia="Calibri" w:hAnsi="Times New Roman" w:cs="Times New Roman"/>
                <w:sz w:val="24"/>
                <w:lang w:eastAsia="ru-RU"/>
              </w:rPr>
            </w:pPr>
            <w:r>
              <w:rPr>
                <w:rFonts w:ascii="Times New Roman" w:eastAsia="Calibri" w:hAnsi="Times New Roman" w:cs="Times New Roman"/>
                <w:b/>
                <w:sz w:val="24"/>
                <w:lang w:eastAsia="ru-RU"/>
              </w:rPr>
              <w:t>Зоны специального назначения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СП-1</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198" w:name="_Toc36136972"/>
            <w:bookmarkStart w:id="199" w:name="_Toc80780347"/>
            <w:r>
              <w:rPr>
                <w:rFonts w:ascii="Times New Roman" w:eastAsia="Times New Roman" w:hAnsi="Times New Roman" w:cs="Times New Roman"/>
                <w:sz w:val="26"/>
                <w:szCs w:val="26"/>
                <w:lang w:eastAsia="ru-RU"/>
              </w:rPr>
              <w:t>Зона специального назначения, связанная с захоронениями</w:t>
            </w:r>
            <w:bookmarkEnd w:id="198"/>
            <w:bookmarkEnd w:id="199"/>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СП-2</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bookmarkStart w:id="200" w:name="_Toc80780348"/>
            <w:r>
              <w:rPr>
                <w:rFonts w:ascii="Times New Roman" w:eastAsia="Times New Roman" w:hAnsi="Times New Roman" w:cs="Times New Roman"/>
                <w:sz w:val="26"/>
                <w:szCs w:val="26"/>
                <w:lang w:eastAsia="ru-RU"/>
              </w:rPr>
              <w:t>Зона специального назначения, связанная с размещением отходов</w:t>
            </w:r>
            <w:bookmarkEnd w:id="200"/>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СП-3</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специального назначения, связанная с государственными объектами</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СП-4</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зелёных насаждений специального назначения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СП-5</w:t>
            </w:r>
          </w:p>
        </w:tc>
        <w:tc>
          <w:tcPr>
            <w:tcW w:w="4435" w:type="pct"/>
            <w:shd w:val="clear" w:color="auto" w:fill="auto"/>
            <w:vAlign w:val="center"/>
          </w:tcPr>
          <w:p>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Научно-производственная зона</w:t>
            </w:r>
          </w:p>
        </w:tc>
      </w:tr>
      <w:tr>
        <w:trPr>
          <w:trHeight w:val="454"/>
        </w:trPr>
        <w:tc>
          <w:tcPr>
            <w:tcW w:w="5000" w:type="pct"/>
            <w:gridSpan w:val="2"/>
            <w:shd w:val="clear" w:color="auto" w:fill="auto"/>
            <w:vAlign w:val="center"/>
          </w:tcPr>
          <w:p>
            <w:pPr>
              <w:autoSpaceDE w:val="0"/>
              <w:autoSpaceDN w:val="0"/>
              <w:adjustRightInd w:val="0"/>
              <w:spacing w:after="0" w:line="240" w:lineRule="auto"/>
              <w:contextualSpacing/>
              <w:jc w:val="center"/>
              <w:rPr>
                <w:rFonts w:ascii="Times New Roman" w:eastAsia="Calibri" w:hAnsi="Times New Roman" w:cs="Times New Roman"/>
                <w:sz w:val="24"/>
                <w:lang w:eastAsia="ru-RU"/>
              </w:rPr>
            </w:pPr>
            <w:r>
              <w:rPr>
                <w:rFonts w:ascii="Times New Roman" w:eastAsia="Calibri" w:hAnsi="Times New Roman" w:cs="Times New Roman"/>
                <w:b/>
                <w:sz w:val="24"/>
                <w:lang w:eastAsia="ru-RU"/>
              </w:rPr>
              <w:t>Территории общего пользования</w:t>
            </w:r>
          </w:p>
        </w:tc>
      </w:tr>
      <w:tr>
        <w:trPr>
          <w:trHeight w:val="454"/>
        </w:trPr>
        <w:tc>
          <w:tcPr>
            <w:tcW w:w="565" w:type="pct"/>
            <w:shd w:val="clear" w:color="auto" w:fill="auto"/>
            <w:vAlign w:val="center"/>
          </w:tcPr>
          <w:p>
            <w:pPr>
              <w:spacing w:after="0" w:line="240" w:lineRule="auto"/>
              <w:jc w:val="center"/>
              <w:rPr>
                <w:rFonts w:ascii="Times New Roman" w:eastAsia="Calibri" w:hAnsi="Times New Roman" w:cs="Times New Roman"/>
                <w:sz w:val="24"/>
                <w:lang w:eastAsia="ru-RU"/>
              </w:rPr>
            </w:pPr>
            <w:r>
              <w:rPr>
                <w:rFonts w:ascii="Times New Roman" w:eastAsia="Calibri" w:hAnsi="Times New Roman" w:cs="Times New Roman"/>
                <w:sz w:val="24"/>
                <w:lang w:eastAsia="ru-RU"/>
              </w:rPr>
              <w:t>ТОП</w:t>
            </w:r>
          </w:p>
        </w:tc>
        <w:tc>
          <w:tcPr>
            <w:tcW w:w="4435" w:type="pct"/>
            <w:shd w:val="clear" w:color="auto" w:fill="auto"/>
            <w:vAlign w:val="center"/>
          </w:tcPr>
          <w:p>
            <w:pPr>
              <w:spacing w:after="0" w:line="240" w:lineRule="auto"/>
              <w:rPr>
                <w:rFonts w:ascii="Times New Roman" w:eastAsia="Calibri" w:hAnsi="Times New Roman" w:cs="Times New Roman"/>
                <w:iCs/>
                <w:sz w:val="24"/>
                <w:lang w:eastAsia="ru-RU"/>
              </w:rPr>
            </w:pPr>
            <w:r>
              <w:rPr>
                <w:rFonts w:ascii="Times New Roman" w:eastAsia="Times New Roman" w:hAnsi="Times New Roman" w:cs="Times New Roman"/>
                <w:sz w:val="26"/>
                <w:szCs w:val="26"/>
                <w:lang w:eastAsia="ru-RU"/>
              </w:rPr>
              <w:t>Зона территорий общего пользования (природного ландшафта)</w:t>
            </w:r>
          </w:p>
        </w:tc>
      </w:tr>
    </w:tbl>
    <w:p>
      <w:pPr>
        <w:rPr>
          <w:rFonts w:ascii="Times New Roman" w:eastAsia="Times New Roman" w:hAnsi="Times New Roman" w:cs="Times New Roman"/>
          <w:sz w:val="24"/>
          <w:szCs w:val="24"/>
          <w:lang w:eastAsia="ru-RU"/>
        </w:rPr>
      </w:pPr>
    </w:p>
    <w:p>
      <w:pPr>
        <w:tabs>
          <w:tab w:val="left" w:pos="2160"/>
        </w:tabs>
        <w:spacing w:after="0" w:line="240" w:lineRule="auto"/>
        <w:ind w:left="2160" w:hanging="1440"/>
        <w:jc w:val="both"/>
        <w:rPr>
          <w:rFonts w:ascii="Times New Roman" w:eastAsia="Times New Roman" w:hAnsi="Times New Roman" w:cs="Times New Roman"/>
          <w:sz w:val="24"/>
          <w:szCs w:val="24"/>
          <w:lang w:eastAsia="ru-RU"/>
        </w:rPr>
        <w:sectPr>
          <w:pgSz w:w="11906" w:h="16838"/>
          <w:pgMar w:top="567" w:right="567" w:bottom="567" w:left="1134" w:header="709" w:footer="709" w:gutter="0"/>
          <w:cols w:space="708"/>
          <w:docGrid w:linePitch="360"/>
        </w:sectPr>
      </w:pPr>
    </w:p>
    <w:p>
      <w:pPr>
        <w:pStyle w:val="3"/>
        <w:rPr>
          <w:rFonts w:eastAsia="Times New Roman"/>
          <w:lang w:eastAsia="ru-RU"/>
        </w:rPr>
      </w:pPr>
      <w:bookmarkStart w:id="201" w:name="_Toc80780349"/>
      <w:bookmarkStart w:id="202" w:name="_Toc99015368"/>
      <w:r>
        <w:rPr>
          <w:rFonts w:eastAsia="Times New Roman"/>
          <w:lang w:eastAsia="ru-RU"/>
        </w:rPr>
        <w:lastRenderedPageBreak/>
        <w:t xml:space="preserve">Статья 25. Ж-1. </w:t>
      </w:r>
      <w:r>
        <w:t>Зона</w:t>
      </w:r>
      <w:r>
        <w:rPr>
          <w:rFonts w:eastAsia="Times New Roman"/>
          <w:lang w:eastAsia="ru-RU"/>
        </w:rPr>
        <w:t xml:space="preserve"> застройки индивидуальными жилыми домами</w:t>
      </w:r>
      <w:bookmarkEnd w:id="201"/>
      <w:bookmarkEnd w:id="202"/>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Зона предназначена для размещения отдельно стоящих жилых домов с количеством этажей не более чем три (включая подземные этажи, цокольный этаж и мансарду), предназначенные для проживания одной семьи. В зоне разрешено ведение ограниченного личного подсобного хозяйства (садоводство, цветоводство, огородничество), без содержания скота и птицы.</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В территориальной зоне разрешено размещение объектов коммунального обслуживания, если их размещение не влияет на окружающую среду, не причиняет неудобства жителям, не требует установления санитарной или охранной зоны, а площадь земельных участков под названными объектами, не превышает 20% от площади территории зоны.</w:t>
      </w:r>
    </w:p>
    <w:p>
      <w:pPr>
        <w:spacing w:after="0" w:line="240" w:lineRule="auto"/>
        <w:ind w:firstLine="708"/>
        <w:jc w:val="both"/>
        <w:rPr>
          <w:rFonts w:ascii="Times New Roman" w:eastAsia="Times New Roman" w:hAnsi="Times New Roman" w:cs="Times New Roman"/>
          <w:color w:val="000000"/>
          <w:sz w:val="26"/>
          <w:szCs w:val="26"/>
        </w:rPr>
      </w:pPr>
    </w:p>
    <w:p>
      <w:pPr>
        <w:spacing w:before="120" w:after="120" w:line="240" w:lineRule="auto"/>
        <w:jc w:val="both"/>
        <w:rPr>
          <w:rFonts w:ascii="Times New Roman" w:eastAsia="Times New Roman" w:hAnsi="Times New Roman" w:cs="Times New Roman"/>
          <w:b/>
          <w:iCs/>
          <w:sz w:val="24"/>
          <w:szCs w:val="24"/>
          <w:lang w:eastAsia="ru-RU"/>
        </w:rPr>
      </w:pPr>
      <w:r>
        <w:rPr>
          <w:rFonts w:ascii="Times New Roman" w:eastAsia="Times New Roman" w:hAnsi="Times New Roman" w:cs="Times New Roman"/>
          <w:iCs/>
          <w:sz w:val="24"/>
          <w:szCs w:val="24"/>
          <w:lang w:eastAsia="ru-RU"/>
        </w:rPr>
        <w:t xml:space="preserve">Таблица 31.1. </w:t>
      </w:r>
      <w:r>
        <w:rPr>
          <w:rFonts w:ascii="Times New Roman" w:eastAsia="Times New Roman" w:hAnsi="Times New Roman" w:cs="Times New Roman"/>
          <w:b/>
          <w:iCs/>
          <w:sz w:val="24"/>
          <w:szCs w:val="24"/>
          <w:lang w:eastAsia="ru-RU"/>
        </w:rPr>
        <w:t>Виды разрешенного использования зоны застройки индивидуальными жилыми домами (Ж-1)</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Ж-1. Зона застройки индивидуальными жилыми домами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2.1</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Для индивидуального жилищного строительства</w:t>
            </w:r>
          </w:p>
        </w:tc>
        <w:tc>
          <w:tcPr>
            <w:tcW w:w="10665" w:type="dxa"/>
            <w:shd w:val="clear" w:color="auto" w:fill="FFFFFF"/>
            <w:vAlign w:val="center"/>
          </w:tcPr>
          <w:p>
            <w:pPr>
              <w:widowControl w:val="0"/>
              <w:tabs>
                <w:tab w:val="left" w:pos="0"/>
                <w:tab w:val="num" w:pos="34"/>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pPr>
              <w:widowControl w:val="0"/>
              <w:tabs>
                <w:tab w:val="left" w:pos="0"/>
                <w:tab w:val="num" w:pos="34"/>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выращивание сельскохозяйственных культур;</w:t>
            </w:r>
          </w:p>
          <w:p>
            <w:pPr>
              <w:widowControl w:val="0"/>
              <w:tabs>
                <w:tab w:val="left" w:pos="0"/>
                <w:tab w:val="num" w:pos="34"/>
              </w:tabs>
              <w:spacing w:after="0" w:line="240" w:lineRule="auto"/>
              <w:ind w:firstLine="351"/>
              <w:jc w:val="both"/>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размещение гаражей для собственных нужд и хозяйственных построек</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2.2</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Для ведения личного подсобного хозяйства (приусадебный земельный участок)</w:t>
            </w:r>
          </w:p>
        </w:tc>
        <w:tc>
          <w:tcPr>
            <w:tcW w:w="10665" w:type="dxa"/>
            <w:shd w:val="clear" w:color="auto" w:fill="FFFFFF"/>
          </w:tcPr>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жилого дома, указанного в описании вида разрешенного использования с кодом 2.1;</w:t>
            </w:r>
          </w:p>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производство сельскохозяйственной продукции;</w:t>
            </w:r>
          </w:p>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гаража и иных вспомогательных сооружений;</w:t>
            </w:r>
          </w:p>
          <w:p>
            <w:pPr>
              <w:widowControl w:val="0"/>
              <w:tabs>
                <w:tab w:val="left" w:pos="317"/>
                <w:tab w:val="num" w:pos="720"/>
                <w:tab w:val="left" w:pos="900"/>
                <w:tab w:val="left" w:pos="1080"/>
                <w:tab w:val="left" w:pos="1260"/>
              </w:tabs>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содержание сельскохозяйственных животных</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lastRenderedPageBreak/>
              <w:t>2.3</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Arial"/>
                <w:sz w:val="24"/>
                <w:szCs w:val="24"/>
                <w:lang w:eastAsia="ru-RU"/>
              </w:rPr>
              <w:t>Блокированная жилая застройка</w:t>
            </w:r>
          </w:p>
        </w:tc>
        <w:tc>
          <w:tcPr>
            <w:tcW w:w="10665" w:type="dxa"/>
            <w:shd w:val="clear" w:color="auto" w:fill="FFFFFF"/>
          </w:tcPr>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разведение декоративных и плодовых деревьев, овощных и ягодных культур;</w:t>
            </w:r>
          </w:p>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индивидуальных гаражей и иных вспомогательных сооружений;</w:t>
            </w:r>
          </w:p>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Arial"/>
                <w:sz w:val="24"/>
                <w:szCs w:val="24"/>
                <w:lang w:eastAsia="ru-RU"/>
              </w:rPr>
              <w:t>обустройство спортивных и детских площадок, площадок для отдыха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Площадки для занятий спортом</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2.7.2</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для собственных нужд</w:t>
            </w:r>
          </w:p>
        </w:tc>
        <w:tc>
          <w:tcPr>
            <w:tcW w:w="10665" w:type="dxa"/>
            <w:shd w:val="clear" w:color="auto" w:fill="FFFFFF"/>
          </w:tcPr>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Социальное обслуживание</w:t>
            </w:r>
          </w:p>
        </w:tc>
        <w:tc>
          <w:tcPr>
            <w:tcW w:w="10665" w:type="dxa"/>
            <w:shd w:val="clear" w:color="auto" w:fill="FFFFFF"/>
          </w:tcPr>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3.4.1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Амбулаторно-поликлиническое 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w:t>
            </w:r>
            <w:r>
              <w:rPr>
                <w:rFonts w:ascii="Times New Roman" w:eastAsia="Times New Roman" w:hAnsi="Times New Roman" w:cs="Times New Roman"/>
                <w:color w:val="000000"/>
                <w:sz w:val="24"/>
                <w:szCs w:val="24"/>
                <w:lang w:eastAsia="ru-RU"/>
              </w:rPr>
              <w:t xml:space="preserve">использования с </w:t>
            </w:r>
            <w:hyperlink w:anchor="Par198" w:tooltip="3.1.1" w:history="1">
              <w:r>
                <w:rPr>
                  <w:rFonts w:ascii="Times New Roman" w:eastAsia="Times New Roman" w:hAnsi="Times New Roman" w:cs="Times New Roman"/>
                  <w:color w:val="000000"/>
                  <w:sz w:val="24"/>
                  <w:szCs w:val="24"/>
                  <w:lang w:eastAsia="ru-RU"/>
                </w:rPr>
                <w:t>кодами 3.1.1</w:t>
              </w:r>
            </w:hyperlink>
            <w:r>
              <w:rPr>
                <w:rFonts w:ascii="Times New Roman" w:eastAsia="Times New Roman" w:hAnsi="Times New Roman" w:cs="Times New Roman"/>
                <w:color w:val="000000"/>
                <w:sz w:val="24"/>
                <w:szCs w:val="24"/>
                <w:lang w:eastAsia="ru-RU"/>
              </w:rPr>
              <w:t xml:space="preserve"> - </w:t>
            </w:r>
            <w:hyperlink w:anchor="Par202" w:tooltip="3.1.2" w:history="1">
              <w:r>
                <w:rPr>
                  <w:rFonts w:ascii="Times New Roman" w:eastAsia="Times New Roman" w:hAnsi="Times New Roman" w:cs="Times New Roman"/>
                  <w:color w:val="000000"/>
                  <w:sz w:val="24"/>
                  <w:szCs w:val="24"/>
                  <w:lang w:eastAsia="ru-RU"/>
                </w:rPr>
                <w:t>3.1.2</w:t>
              </w:r>
            </w:hyperlink>
          </w:p>
        </w:tc>
      </w:tr>
      <w:tr>
        <w:trPr>
          <w:trHeight w:val="20"/>
        </w:trPr>
        <w:tc>
          <w:tcPr>
            <w:tcW w:w="1526" w:type="dxa"/>
            <w:shd w:val="clear" w:color="auto" w:fill="FFFFFF"/>
          </w:tcPr>
          <w:p>
            <w:pPr>
              <w:widowControl w:val="0"/>
              <w:tabs>
                <w:tab w:val="left" w:pos="317"/>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835" w:type="dxa"/>
            <w:shd w:val="clear" w:color="auto" w:fill="FFFFFF"/>
          </w:tcPr>
          <w:p>
            <w:pPr>
              <w:widowControl w:val="0"/>
              <w:tabs>
                <w:tab w:val="left" w:pos="317"/>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tabs>
                <w:tab w:val="left" w:pos="317"/>
              </w:tabs>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tabs>
                <w:tab w:val="left" w:pos="317"/>
              </w:tabs>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 xml:space="preserve">Таблица 31.2. </w:t>
      </w:r>
      <w:r>
        <w:rPr>
          <w:rFonts w:ascii="Times New Roman" w:eastAsia="Times New Roman" w:hAnsi="Times New Roman" w:cs="Times New Roman"/>
          <w:b/>
          <w:color w:val="000000"/>
          <w:sz w:val="28"/>
          <w:szCs w:val="28"/>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pPr>
        <w:spacing w:after="0" w:line="240" w:lineRule="auto"/>
        <w:rPr>
          <w:rFonts w:ascii="Times New Roman" w:eastAsia="Times New Roman" w:hAnsi="Times New Roman" w:cs="Times New Roman"/>
          <w:sz w:val="24"/>
          <w:szCs w:val="24"/>
          <w:lang w:eastAsia="ru-RU"/>
        </w:rPr>
      </w:pPr>
    </w:p>
    <w:tbl>
      <w:tblPr>
        <w:tblStyle w:val="2a"/>
        <w:tblW w:w="15026" w:type="dxa"/>
        <w:tblInd w:w="-289" w:type="dxa"/>
        <w:tblLook w:val="04A0" w:firstRow="1" w:lastRow="0" w:firstColumn="1" w:lastColumn="0" w:noHBand="0" w:noVBand="1"/>
      </w:tblPr>
      <w:tblGrid>
        <w:gridCol w:w="756"/>
        <w:gridCol w:w="2134"/>
        <w:gridCol w:w="1435"/>
        <w:gridCol w:w="1435"/>
        <w:gridCol w:w="1502"/>
        <w:gridCol w:w="1435"/>
        <w:gridCol w:w="1435"/>
        <w:gridCol w:w="1713"/>
        <w:gridCol w:w="1435"/>
        <w:gridCol w:w="1746"/>
      </w:tblGrid>
      <w:tr>
        <w:tc>
          <w:tcPr>
            <w:tcW w:w="756"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4"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3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56"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1502"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583"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746"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3333"/>
        </w:trPr>
        <w:tc>
          <w:tcPr>
            <w:tcW w:w="756"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502"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71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746"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56"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2.1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индивидуального жилищного строительства</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w:t>
            </w:r>
          </w:p>
        </w:tc>
        <w:tc>
          <w:tcPr>
            <w:tcW w:w="1502"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w:t>
            </w:r>
            <w:r>
              <w:rPr>
                <w:rFonts w:ascii="Times New Roman" w:eastAsia="Times New Roman" w:hAnsi="Times New Roman" w:cs="Times New Roman"/>
                <w:color w:val="000000"/>
                <w:sz w:val="20"/>
                <w:szCs w:val="20"/>
                <w:lang w:eastAsia="ru-RU"/>
              </w:rPr>
              <w:lastRenderedPageBreak/>
              <w:t xml:space="preserve">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w:t>
            </w:r>
          </w:p>
          <w:p>
            <w:pPr>
              <w:ind w:hanging="33"/>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Минимальное расстояние от границ земельного участка до: </w:t>
            </w:r>
          </w:p>
          <w:p>
            <w:pPr>
              <w:ind w:left="-33" w:firstLine="33"/>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основного строения (жилого дома) –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прочих построек – </w:t>
            </w:r>
            <w:smartTag w:uri="urn:schemas-microsoft-com:office:smarttags" w:element="metricconverter">
              <w:smartTagPr>
                <w:attr w:name="ProductID" w:val="1 м"/>
              </w:smartTagPr>
              <w:r>
                <w:rPr>
                  <w:rFonts w:ascii="Times New Roman" w:eastAsia="Times New Roman" w:hAnsi="Times New Roman" w:cs="Times New Roman"/>
                  <w:color w:val="000000"/>
                  <w:sz w:val="20"/>
                  <w:szCs w:val="20"/>
                  <w:lang w:eastAsia="ru-RU"/>
                </w:rPr>
                <w:t>1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выгреб, септик, надворный туалет– </w:t>
            </w:r>
            <w:smartTag w:uri="urn:schemas-microsoft-com:office:smarttags" w:element="metricconverter">
              <w:smartTagPr>
                <w:attr w:name="ProductID" w:val="2 м"/>
              </w:smartTagPr>
              <w:r>
                <w:rPr>
                  <w:rFonts w:ascii="Times New Roman" w:eastAsia="Times New Roman" w:hAnsi="Times New Roman" w:cs="Times New Roman"/>
                  <w:color w:val="000000"/>
                  <w:sz w:val="20"/>
                  <w:szCs w:val="20"/>
                  <w:lang w:eastAsia="ru-RU"/>
                </w:rPr>
                <w:t>2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от стволов высокорослых деревьев – </w:t>
            </w:r>
            <w:smartTag w:uri="urn:schemas-microsoft-com:office:smarttags" w:element="metricconverter">
              <w:smartTagPr>
                <w:attr w:name="ProductID" w:val="4 м"/>
              </w:smartTagPr>
              <w:r>
                <w:rPr>
                  <w:rFonts w:ascii="Times New Roman" w:eastAsia="Times New Roman" w:hAnsi="Times New Roman" w:cs="Times New Roman"/>
                  <w:color w:val="000000"/>
                  <w:sz w:val="20"/>
                  <w:szCs w:val="20"/>
                  <w:lang w:eastAsia="ru-RU"/>
                </w:rPr>
                <w:t>4 м</w:t>
              </w:r>
            </w:smartTag>
            <w:r>
              <w:rPr>
                <w:rFonts w:ascii="Times New Roman" w:eastAsia="Times New Roman" w:hAnsi="Times New Roman" w:cs="Times New Roman"/>
                <w:color w:val="000000"/>
                <w:sz w:val="20"/>
                <w:szCs w:val="20"/>
                <w:lang w:eastAsia="ru-RU"/>
              </w:rPr>
              <w:t xml:space="preserve">, среднерослых – </w:t>
            </w:r>
            <w:smartTag w:uri="urn:schemas-microsoft-com:office:smarttags" w:element="metricconverter">
              <w:smartTagPr>
                <w:attr w:name="ProductID" w:val="2 м"/>
              </w:smartTagPr>
              <w:r>
                <w:rPr>
                  <w:rFonts w:ascii="Times New Roman" w:eastAsia="Times New Roman" w:hAnsi="Times New Roman" w:cs="Times New Roman"/>
                  <w:color w:val="000000"/>
                  <w:sz w:val="20"/>
                  <w:szCs w:val="20"/>
                  <w:lang w:eastAsia="ru-RU"/>
                </w:rPr>
                <w:t>2 м</w:t>
              </w:r>
            </w:smartTag>
            <w:r>
              <w:rPr>
                <w:rFonts w:ascii="Times New Roman" w:eastAsia="Times New Roman" w:hAnsi="Times New Roman" w:cs="Times New Roman"/>
                <w:color w:val="000000"/>
                <w:sz w:val="20"/>
                <w:szCs w:val="20"/>
                <w:lang w:eastAsia="ru-RU"/>
              </w:rPr>
              <w:t xml:space="preserve">; </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от кустарников – </w:t>
            </w:r>
            <w:smartTag w:uri="urn:schemas-microsoft-com:office:smarttags" w:element="metricconverter">
              <w:smartTagPr>
                <w:attr w:name="ProductID" w:val="1 м"/>
              </w:smartTagPr>
              <w:r>
                <w:rPr>
                  <w:rFonts w:ascii="Times New Roman" w:eastAsia="Times New Roman" w:hAnsi="Times New Roman" w:cs="Times New Roman"/>
                  <w:color w:val="000000"/>
                  <w:sz w:val="20"/>
                  <w:szCs w:val="20"/>
                  <w:lang w:eastAsia="ru-RU"/>
                </w:rPr>
                <w:t>1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Высота жилых домов (от уровня земли до верха плоской крыши или до конька скатной крыши) – не более </w:t>
            </w:r>
            <w:smartTag w:uri="urn:schemas-microsoft-com:office:smarttags" w:element="metricconverter">
              <w:smartTagPr>
                <w:attr w:name="ProductID" w:val="12 м"/>
              </w:smartTagPr>
              <w:r>
                <w:rPr>
                  <w:rFonts w:ascii="Times New Roman" w:eastAsia="Times New Roman" w:hAnsi="Times New Roman" w:cs="Times New Roman"/>
                  <w:color w:val="000000"/>
                  <w:sz w:val="20"/>
                  <w:szCs w:val="20"/>
                  <w:lang w:eastAsia="ru-RU"/>
                </w:rPr>
                <w:t>12 м</w:t>
              </w:r>
            </w:smartTag>
            <w:r>
              <w:rPr>
                <w:rFonts w:ascii="Times New Roman" w:eastAsia="Times New Roman" w:hAnsi="Times New Roman" w:cs="Times New Roman"/>
                <w:color w:val="000000"/>
                <w:sz w:val="20"/>
                <w:szCs w:val="20"/>
                <w:lang w:eastAsia="ru-RU"/>
              </w:rPr>
              <w:t>.</w:t>
            </w:r>
          </w:p>
          <w:p>
            <w:pPr>
              <w:widowControl w:val="0"/>
              <w:tabs>
                <w:tab w:val="left" w:pos="540"/>
                <w:tab w:val="num" w:pos="720"/>
                <w:tab w:val="left" w:pos="900"/>
                <w:tab w:val="left" w:pos="1080"/>
                <w:tab w:val="left" w:pos="1260"/>
              </w:tabs>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 xml:space="preserve">Высота вспомогательных зданий и сооружений и прочих построек (от уровня земли до верха плоской крыши или до конька скатной крыши) – не более </w:t>
            </w:r>
            <w:smartTag w:uri="urn:schemas-microsoft-com:office:smarttags" w:element="metricconverter">
              <w:smartTagPr>
                <w:attr w:name="ProductID" w:val="4 м"/>
              </w:smartTagPr>
              <w:r>
                <w:rPr>
                  <w:rFonts w:ascii="Times New Roman" w:eastAsia="Times New Roman" w:hAnsi="Times New Roman" w:cs="Times New Roman"/>
                  <w:color w:val="000000"/>
                  <w:sz w:val="20"/>
                  <w:szCs w:val="20"/>
                  <w:lang w:eastAsia="ru-RU"/>
                </w:rPr>
                <w:t>4 м.</w:t>
              </w:r>
            </w:smartTag>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lastRenderedPageBreak/>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0</w:t>
            </w:r>
          </w:p>
        </w:tc>
        <w:tc>
          <w:tcPr>
            <w:tcW w:w="1746"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Минимальная ширина земельного участка </w:t>
            </w:r>
            <w:smartTag w:uri="urn:schemas-microsoft-com:office:smarttags" w:element="metricconverter">
              <w:smartTagPr>
                <w:attr w:name="ProductID" w:val="28 м"/>
              </w:smartTagPr>
              <w:r>
                <w:rPr>
                  <w:rFonts w:ascii="Times New Roman" w:eastAsia="Times New Roman" w:hAnsi="Times New Roman" w:cs="Times New Roman"/>
                  <w:color w:val="000000"/>
                  <w:sz w:val="20"/>
                  <w:szCs w:val="20"/>
                  <w:lang w:eastAsia="ru-RU"/>
                </w:rPr>
                <w:t>28 м.</w:t>
              </w:r>
            </w:smartTag>
          </w:p>
        </w:tc>
      </w:tr>
      <w:tr>
        <w:tc>
          <w:tcPr>
            <w:tcW w:w="756"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lastRenderedPageBreak/>
              <w:t>2.2</w:t>
            </w:r>
          </w:p>
        </w:tc>
        <w:tc>
          <w:tcPr>
            <w:tcW w:w="2134" w:type="dxa"/>
          </w:tcPr>
          <w:p>
            <w:pPr>
              <w:widowControl w:val="0"/>
              <w:autoSpaceDE w:val="0"/>
              <w:autoSpaceDN w:val="0"/>
              <w:adjustRightInd w:val="0"/>
              <w:rPr>
                <w:rFonts w:ascii="Times New Roman" w:eastAsia="Calibri" w:hAnsi="Times New Roman" w:cs="Times New Roman"/>
                <w:iCs/>
                <w:sz w:val="20"/>
                <w:szCs w:val="20"/>
              </w:rPr>
            </w:pPr>
            <w:r>
              <w:rPr>
                <w:rFonts w:ascii="Times New Roman" w:eastAsia="Times New Roman" w:hAnsi="Times New Roman" w:cs="Times New Roman"/>
                <w:sz w:val="20"/>
                <w:szCs w:val="20"/>
                <w:lang w:eastAsia="ru-RU"/>
              </w:rPr>
              <w:t>Для ведения личного подсобного хозяйства (приусадебный земельный участок)</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1502" w:type="dxa"/>
            <w:vMerge w:val="restart"/>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w:t>
            </w:r>
            <w:r>
              <w:rPr>
                <w:rFonts w:ascii="Times New Roman" w:eastAsia="Times New Roman" w:hAnsi="Times New Roman" w:cs="Times New Roman"/>
                <w:color w:val="000000"/>
                <w:sz w:val="20"/>
                <w:szCs w:val="20"/>
                <w:lang w:eastAsia="ru-RU"/>
              </w:rPr>
              <w:lastRenderedPageBreak/>
              <w:t xml:space="preserve">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xml:space="preserve">. 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sz w:val="20"/>
                <w:szCs w:val="20"/>
                <w:lang w:eastAsia="ru-RU"/>
              </w:rPr>
            </w:pPr>
          </w:p>
        </w:tc>
        <w:tc>
          <w:tcPr>
            <w:tcW w:w="1435"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p>
            <w:pPr>
              <w:rPr>
                <w:rFonts w:ascii="Times New Roman" w:eastAsia="Times New Roman" w:hAnsi="Times New Roman" w:cs="Times New Roman"/>
                <w:sz w:val="20"/>
                <w:szCs w:val="20"/>
                <w:lang w:eastAsia="ru-RU"/>
              </w:rPr>
            </w:pPr>
          </w:p>
        </w:tc>
        <w:tc>
          <w:tcPr>
            <w:tcW w:w="1435"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p>
            <w:pPr>
              <w:rPr>
                <w:rFonts w:ascii="Times New Roman" w:eastAsia="Times New Roman" w:hAnsi="Times New Roman" w:cs="Times New Roman"/>
                <w:sz w:val="20"/>
                <w:szCs w:val="20"/>
                <w:lang w:eastAsia="ru-RU"/>
              </w:rPr>
            </w:pPr>
          </w:p>
        </w:tc>
        <w:tc>
          <w:tcPr>
            <w:tcW w:w="1713"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Высота жилых домов (от уровня земли до верха плоской крыши или до конька скатной крыши) – не более 9 м.</w:t>
            </w:r>
          </w:p>
          <w:p>
            <w:pPr>
              <w:widowControl w:val="0"/>
              <w:tabs>
                <w:tab w:val="left" w:pos="540"/>
                <w:tab w:val="num" w:pos="720"/>
                <w:tab w:val="left" w:pos="900"/>
                <w:tab w:val="left" w:pos="1080"/>
                <w:tab w:val="left" w:pos="1260"/>
              </w:tabs>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Высота </w:t>
            </w:r>
            <w:r>
              <w:rPr>
                <w:rFonts w:ascii="Times New Roman" w:eastAsia="Times New Roman" w:hAnsi="Times New Roman" w:cs="Times New Roman"/>
                <w:color w:val="000000"/>
                <w:sz w:val="20"/>
                <w:szCs w:val="20"/>
                <w:lang w:eastAsia="ru-RU"/>
              </w:rPr>
              <w:lastRenderedPageBreak/>
              <w:t xml:space="preserve">вспомогательных зданий и сооружений и прочих построек (от уровня земли до верха плоской крыши или до конька скатной крыши) – не более </w:t>
            </w:r>
            <w:smartTag w:uri="urn:schemas-microsoft-com:office:smarttags" w:element="metricconverter">
              <w:smartTagPr>
                <w:attr w:name="ProductID" w:val="4 м"/>
              </w:smartTagPr>
              <w:r>
                <w:rPr>
                  <w:rFonts w:ascii="Times New Roman" w:eastAsia="Times New Roman" w:hAnsi="Times New Roman" w:cs="Times New Roman"/>
                  <w:color w:val="000000"/>
                  <w:sz w:val="20"/>
                  <w:szCs w:val="20"/>
                  <w:lang w:eastAsia="ru-RU"/>
                </w:rPr>
                <w:t>4 м.</w:t>
              </w:r>
            </w:smartTag>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lastRenderedPageBreak/>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20 м.</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lastRenderedPageBreak/>
              <w:t>2.3</w:t>
            </w:r>
          </w:p>
        </w:tc>
        <w:tc>
          <w:tcPr>
            <w:tcW w:w="2134" w:type="dxa"/>
          </w:tcPr>
          <w:p>
            <w:pPr>
              <w:widowControl w:val="0"/>
              <w:autoSpaceDE w:val="0"/>
              <w:autoSpaceDN w:val="0"/>
              <w:adjustRightInd w:val="0"/>
              <w:rPr>
                <w:rFonts w:ascii="Times New Roman" w:eastAsia="Calibri" w:hAnsi="Times New Roman" w:cs="Times New Roman"/>
                <w:iCs/>
                <w:sz w:val="20"/>
                <w:szCs w:val="20"/>
              </w:rPr>
            </w:pPr>
            <w:r>
              <w:rPr>
                <w:rFonts w:ascii="Times New Roman" w:eastAsia="Times New Roman" w:hAnsi="Times New Roman" w:cs="Arial"/>
                <w:sz w:val="20"/>
                <w:szCs w:val="20"/>
                <w:lang w:eastAsia="ru-RU"/>
              </w:rPr>
              <w:t>Блокированная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w:t>
            </w:r>
          </w:p>
        </w:tc>
        <w:tc>
          <w:tcPr>
            <w:tcW w:w="1502" w:type="dxa"/>
            <w:vMerge/>
          </w:tcPr>
          <w:p>
            <w:pPr>
              <w:rPr>
                <w:rFonts w:ascii="Times New Roman" w:eastAsia="Times New Roman" w:hAnsi="Times New Roman" w:cs="Times New Roman"/>
                <w:color w:val="000000"/>
                <w:sz w:val="20"/>
                <w:szCs w:val="20"/>
                <w:lang w:eastAsia="ru-RU"/>
              </w:rPr>
            </w:pPr>
          </w:p>
        </w:tc>
        <w:tc>
          <w:tcPr>
            <w:tcW w:w="1435" w:type="dxa"/>
            <w:vMerge/>
          </w:tcPr>
          <w:p>
            <w:pPr>
              <w:rPr>
                <w:rFonts w:ascii="Times New Roman" w:eastAsia="Times New Roman" w:hAnsi="Times New Roman" w:cs="Times New Roman"/>
                <w:sz w:val="20"/>
                <w:szCs w:val="20"/>
                <w:lang w:eastAsia="ru-RU"/>
              </w:rPr>
            </w:pPr>
          </w:p>
        </w:tc>
        <w:tc>
          <w:tcPr>
            <w:tcW w:w="1435" w:type="dxa"/>
            <w:vMerge/>
          </w:tcPr>
          <w:p>
            <w:pPr>
              <w:rPr>
                <w:rFonts w:ascii="Times New Roman" w:eastAsia="Times New Roman" w:hAnsi="Times New Roman" w:cs="Times New Roman"/>
                <w:sz w:val="20"/>
                <w:szCs w:val="20"/>
                <w:lang w:eastAsia="ru-RU"/>
              </w:rPr>
            </w:pP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746"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14 м.</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Площадки для занятий спортом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34"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Размещение гаражей для собственных нужд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Социальное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502"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p>
            <w:pPr>
              <w:rPr>
                <w:rFonts w:ascii="Times New Roman" w:eastAsia="Times New Roman" w:hAnsi="Times New Roman" w:cs="Times New Roman"/>
                <w:sz w:val="20"/>
                <w:szCs w:val="20"/>
                <w:lang w:eastAsia="ru-RU"/>
              </w:rPr>
            </w:pPr>
          </w:p>
        </w:tc>
        <w:tc>
          <w:tcPr>
            <w:tcW w:w="1435"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p>
            <w:pPr>
              <w:rPr>
                <w:rFonts w:ascii="Times New Roman" w:eastAsia="Times New Roman" w:hAnsi="Times New Roman" w:cs="Times New Roman"/>
                <w:sz w:val="20"/>
                <w:szCs w:val="20"/>
                <w:lang w:eastAsia="ru-RU"/>
              </w:rPr>
            </w:pPr>
          </w:p>
        </w:tc>
        <w:tc>
          <w:tcPr>
            <w:tcW w:w="1713"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p>
            <w:pPr>
              <w:rPr>
                <w:rFonts w:ascii="Times New Roman" w:eastAsia="Times New Roman" w:hAnsi="Times New Roman" w:cs="Times New Roman"/>
                <w:sz w:val="20"/>
                <w:szCs w:val="20"/>
                <w:lang w:eastAsia="ru-RU"/>
              </w:rPr>
            </w:pPr>
          </w:p>
        </w:tc>
        <w:tc>
          <w:tcPr>
            <w:tcW w:w="1435"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vMerge w:val="restart"/>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5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502" w:type="dxa"/>
            <w:vMerge/>
          </w:tcPr>
          <w:p>
            <w:pPr>
              <w:rPr>
                <w:rFonts w:ascii="Times New Roman" w:eastAsia="Times New Roman" w:hAnsi="Times New Roman" w:cs="Times New Roman"/>
                <w:sz w:val="20"/>
                <w:szCs w:val="20"/>
                <w:lang w:eastAsia="ru-RU"/>
              </w:rPr>
            </w:pPr>
          </w:p>
        </w:tc>
        <w:tc>
          <w:tcPr>
            <w:tcW w:w="1435" w:type="dxa"/>
            <w:vMerge/>
          </w:tcPr>
          <w:p>
            <w:pPr>
              <w:rPr>
                <w:rFonts w:ascii="Times New Roman" w:eastAsia="Times New Roman" w:hAnsi="Times New Roman" w:cs="Times New Roman"/>
                <w:sz w:val="20"/>
                <w:szCs w:val="20"/>
                <w:lang w:eastAsia="ru-RU"/>
              </w:rPr>
            </w:pPr>
          </w:p>
        </w:tc>
        <w:tc>
          <w:tcPr>
            <w:tcW w:w="1435" w:type="dxa"/>
            <w:vMerge/>
          </w:tcPr>
          <w:p>
            <w:pPr>
              <w:rPr>
                <w:rFonts w:ascii="Times New Roman" w:eastAsia="Times New Roman" w:hAnsi="Times New Roman" w:cs="Times New Roman"/>
                <w:sz w:val="20"/>
                <w:szCs w:val="20"/>
                <w:lang w:eastAsia="ru-RU"/>
              </w:rPr>
            </w:pPr>
          </w:p>
        </w:tc>
        <w:tc>
          <w:tcPr>
            <w:tcW w:w="1713" w:type="dxa"/>
            <w:vMerge/>
          </w:tcPr>
          <w:p>
            <w:pPr>
              <w:rPr>
                <w:rFonts w:ascii="Times New Roman" w:eastAsia="Times New Roman" w:hAnsi="Times New Roman" w:cs="Times New Roman"/>
                <w:sz w:val="20"/>
                <w:szCs w:val="20"/>
                <w:lang w:eastAsia="ru-RU"/>
              </w:rPr>
            </w:pPr>
          </w:p>
        </w:tc>
        <w:tc>
          <w:tcPr>
            <w:tcW w:w="1435" w:type="dxa"/>
            <w:vMerge/>
          </w:tcPr>
          <w:p>
            <w:pPr>
              <w:rPr>
                <w:rFonts w:ascii="Times New Roman" w:eastAsia="Times New Roman" w:hAnsi="Times New Roman" w:cs="Times New Roman"/>
                <w:sz w:val="20"/>
                <w:szCs w:val="20"/>
                <w:lang w:eastAsia="ru-RU"/>
              </w:rPr>
            </w:pPr>
          </w:p>
        </w:tc>
        <w:tc>
          <w:tcPr>
            <w:tcW w:w="1746" w:type="dxa"/>
            <w:vMerge/>
          </w:tcPr>
          <w:p>
            <w:pPr>
              <w:rPr>
                <w:rFonts w:ascii="Times New Roman" w:eastAsia="Times New Roman" w:hAnsi="Times New Roman" w:cs="Times New Roman"/>
                <w:sz w:val="20"/>
                <w:szCs w:val="20"/>
                <w:lang w:eastAsia="ru-RU"/>
              </w:rPr>
            </w:pPr>
          </w:p>
        </w:tc>
      </w:tr>
      <w:tr>
        <w:tc>
          <w:tcPr>
            <w:tcW w:w="75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3.4.1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Амбулаторно-поликлиническое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5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5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134"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5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56" w:type="dxa"/>
          </w:tcPr>
          <w:p>
            <w:pPr>
              <w:widowControl w:val="0"/>
              <w:tabs>
                <w:tab w:val="left" w:pos="317"/>
                <w:tab w:val="num" w:pos="720"/>
                <w:tab w:val="left" w:pos="900"/>
                <w:tab w:val="left" w:pos="1080"/>
                <w:tab w:val="left" w:pos="1260"/>
              </w:tabs>
              <w:ind w:firstLine="2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134" w:type="dxa"/>
          </w:tcPr>
          <w:p>
            <w:pPr>
              <w:widowControl w:val="0"/>
              <w:tabs>
                <w:tab w:val="left" w:pos="317"/>
              </w:tabs>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внутреннего правопорядка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50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границ земельного </w:t>
            </w:r>
            <w:r>
              <w:rPr>
                <w:rFonts w:ascii="Times New Roman" w:eastAsia="Times New Roman" w:hAnsi="Times New Roman" w:cs="Times New Roman"/>
                <w:sz w:val="20"/>
                <w:szCs w:val="20"/>
                <w:lang w:eastAsia="ru-RU"/>
              </w:rPr>
              <w:lastRenderedPageBreak/>
              <w:t>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4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Ограждение земельного участка устанавливается сетчатое или решетчатое высотой до </w:t>
      </w:r>
      <w:smartTag w:uri="urn:schemas-microsoft-com:office:smarttags" w:element="metricconverter">
        <w:smartTagPr>
          <w:attr w:name="ProductID" w:val="2 м"/>
        </w:smartTagPr>
        <w:r>
          <w:rPr>
            <w:rFonts w:ascii="Times New Roman" w:eastAsia="Times New Roman" w:hAnsi="Times New Roman" w:cs="Times New Roman"/>
            <w:color w:val="000000"/>
            <w:sz w:val="26"/>
            <w:szCs w:val="26"/>
          </w:rPr>
          <w:t>2 м</w:t>
        </w:r>
      </w:smartTag>
      <w:r>
        <w:rPr>
          <w:rFonts w:ascii="Times New Roman" w:eastAsia="Times New Roman" w:hAnsi="Times New Roman" w:cs="Times New Roman"/>
          <w:color w:val="000000"/>
          <w:sz w:val="26"/>
          <w:szCs w:val="26"/>
        </w:rPr>
        <w:t>, по периметру. Допускается по согласованию с Администрацией городского округа Анадырь устройство глухих ограждений со стороны улиц и проездов. Вид ограждения и его высота должны быть единообразными, как минимум, на протяжении одного квартала с обеих сторон улицы;</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благоустройство придомовой территории со стороны улицы перед ограждением допускает наличие древесно-кустарниковой растительности высотой не более </w:t>
      </w:r>
      <w:smartTag w:uri="urn:schemas-microsoft-com:office:smarttags" w:element="metricconverter">
        <w:smartTagPr>
          <w:attr w:name="ProductID" w:val="2 м"/>
        </w:smartTagPr>
        <w:r>
          <w:rPr>
            <w:rFonts w:ascii="Times New Roman" w:eastAsia="Times New Roman" w:hAnsi="Times New Roman" w:cs="Times New Roman"/>
            <w:color w:val="000000"/>
            <w:sz w:val="26"/>
            <w:szCs w:val="26"/>
          </w:rPr>
          <w:t>2 м</w:t>
        </w:r>
      </w:smartTag>
      <w:r>
        <w:rPr>
          <w:rFonts w:ascii="Times New Roman" w:eastAsia="Times New Roman" w:hAnsi="Times New Roman" w:cs="Times New Roman"/>
          <w:color w:val="000000"/>
          <w:sz w:val="26"/>
          <w:szCs w:val="26"/>
        </w:rPr>
        <w:t>;</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в пределах территории заключенной между красными линиями улиц или проездов, и ограждением земельного участка, запрещается размещение каких-либо зданий, строений, сооружений, складирование сельскохозяйственной продукции и ее отходов, складирование строительных материалов (песок, кирпич, блоки, доски и т.п.), и иных не предусмотренных Администрацией городского округа Анадырь материалов и изделий.  </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Санитарно-гигиенические и экологические требования:</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подключение к центральной системе канализации. При ее отсутствии – проектирование домов с децентрализованной системой канализации (выгреб, септик);</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мусороудаление путем вывоза бытового мусора от площадок для сбора мусора. Мусорные контейнеры устанавливаются в расчёте 1 контейнер на 10-15 семей. Расстояние от площадок для сбора мусора до жилых домов, детских учреждений, спортивных площадок и от мест отдыха населения – не менее </w:t>
      </w:r>
      <w:smartTag w:uri="urn:schemas-microsoft-com:office:smarttags" w:element="metricconverter">
        <w:smartTagPr>
          <w:attr w:name="ProductID" w:val="20 метров"/>
        </w:smartTagPr>
        <w:r>
          <w:rPr>
            <w:rFonts w:ascii="Times New Roman" w:eastAsia="Times New Roman" w:hAnsi="Times New Roman" w:cs="Times New Roman"/>
            <w:color w:val="000000"/>
            <w:sz w:val="26"/>
            <w:szCs w:val="26"/>
          </w:rPr>
          <w:t>20 метров</w:t>
        </w:r>
      </w:smartTag>
      <w:r>
        <w:rPr>
          <w:rFonts w:ascii="Times New Roman" w:eastAsia="Times New Roman" w:hAnsi="Times New Roman" w:cs="Times New Roman"/>
          <w:color w:val="000000"/>
          <w:sz w:val="26"/>
          <w:szCs w:val="26"/>
        </w:rPr>
        <w:t xml:space="preserve">, но – не более </w:t>
      </w:r>
      <w:smartTag w:uri="urn:schemas-microsoft-com:office:smarttags" w:element="metricconverter">
        <w:smartTagPr>
          <w:attr w:name="ProductID" w:val="100 м"/>
        </w:smartTagPr>
        <w:r>
          <w:rPr>
            <w:rFonts w:ascii="Times New Roman" w:eastAsia="Times New Roman" w:hAnsi="Times New Roman" w:cs="Times New Roman"/>
            <w:color w:val="000000"/>
            <w:sz w:val="26"/>
            <w:szCs w:val="26"/>
          </w:rPr>
          <w:t>100 м</w:t>
        </w:r>
      </w:smartTag>
      <w:r>
        <w:rPr>
          <w:rFonts w:ascii="Times New Roman" w:eastAsia="Times New Roman" w:hAnsi="Times New Roman" w:cs="Times New Roman"/>
          <w:color w:val="000000"/>
          <w:sz w:val="26"/>
          <w:szCs w:val="26"/>
        </w:rPr>
        <w:t>. Размер площадок должен быть рассчитан на установку необходимого числа контейнеров, но – не более 5. При невозможности их организации – повёдерный вывоз бытовых отходов;</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мероприятия по инженерной подготовке территории, включают вертикальную планировку с организацией отвода поверхностных вод;</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проведение мероприятий по борьбе с оврагообразованием;</w:t>
      </w:r>
    </w:p>
    <w:p>
      <w:pPr>
        <w:spacing w:after="0" w:line="240" w:lineRule="auto"/>
        <w:ind w:firstLine="708"/>
        <w:jc w:val="both"/>
        <w:rPr>
          <w:rFonts w:ascii="Times New Roman" w:eastAsia="Times New Roman" w:hAnsi="Times New Roman" w:cs="Times New Roman"/>
          <w:color w:val="000000"/>
          <w:sz w:val="26"/>
          <w:szCs w:val="26"/>
        </w:rPr>
        <w:sectPr>
          <w:pgSz w:w="16838" w:h="11906" w:orient="landscape"/>
          <w:pgMar w:top="1701" w:right="1134" w:bottom="850" w:left="1134" w:header="708" w:footer="708" w:gutter="0"/>
          <w:cols w:space="708"/>
          <w:docGrid w:linePitch="360"/>
        </w:sectPr>
      </w:pPr>
      <w:r>
        <w:rPr>
          <w:rFonts w:ascii="Times New Roman" w:eastAsia="Times New Roman" w:hAnsi="Times New Roman" w:cs="Times New Roman"/>
          <w:color w:val="000000"/>
          <w:sz w:val="26"/>
          <w:szCs w:val="26"/>
        </w:rPr>
        <w:t xml:space="preserve">- в целях защиты от чрезвычайных ситуаций природного характера при строительстве и реконструкции на склонах – проведение дополнительных инженерных изысканий для выявления наличия специфических по составу и состоянию грунтов и </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(или) риска возникновения (развития) опасных природных процессов и явлений и (или) техногенных воздействий, оказывающих негативные или разрушительные воздействия на здания и сооружения; на территории, на которой будут осуществляться строительство, реконструкция и эксплуатация здания или сооружения;</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обустройство и озеленение прилегающих к земельным участкам тротуаров и газонов;</w:t>
      </w:r>
    </w:p>
    <w:p>
      <w:pPr>
        <w:spacing w:after="0" w:line="240" w:lineRule="auto"/>
        <w:ind w:firstLine="70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организация ливневой канализации. </w:t>
      </w:r>
    </w:p>
    <w:p>
      <w:pPr>
        <w:spacing w:after="0" w:line="240" w:lineRule="auto"/>
        <w:ind w:firstLine="708"/>
        <w:jc w:val="both"/>
        <w:rPr>
          <w:rFonts w:ascii="Times New Roman" w:eastAsia="Times New Roman" w:hAnsi="Times New Roman" w:cs="Times New Roman"/>
          <w:sz w:val="24"/>
          <w:szCs w:val="24"/>
          <w:lang w:eastAsia="ru-RU"/>
        </w:rPr>
      </w:pPr>
    </w:p>
    <w:p>
      <w:pPr>
        <w:pStyle w:val="3"/>
        <w:rPr>
          <w:rFonts w:eastAsia="Times New Roman"/>
          <w:lang w:eastAsia="ru-RU"/>
        </w:rPr>
      </w:pPr>
      <w:bookmarkStart w:id="203" w:name="_Toc80780350"/>
      <w:bookmarkStart w:id="204" w:name="_Toc99015369"/>
      <w:r>
        <w:rPr>
          <w:rFonts w:eastAsia="Times New Roman"/>
          <w:lang w:eastAsia="ru-RU"/>
        </w:rPr>
        <w:t>Статья 26. Ж-2. Зона застройки малоэтажными жилыми домами</w:t>
      </w:r>
      <w:bookmarkEnd w:id="203"/>
      <w:bookmarkEnd w:id="204"/>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 xml:space="preserve">Зона предназначена для застройки малоэтажными жилыми домами. </w:t>
      </w: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Допускается размещение объектов социального и культурно-бытового обслуживания населения преимущественно местного значения</w:t>
      </w:r>
      <w:r>
        <w:rPr>
          <w:rFonts w:ascii="Times New Roman" w:eastAsia="Times New Roman" w:hAnsi="Times New Roman" w:cs="Times New Roman"/>
          <w:sz w:val="26"/>
          <w:szCs w:val="26"/>
          <w:lang w:eastAsia="ru-RU"/>
        </w:rPr>
        <w:t>, коммунально-бытового назначения</w:t>
      </w:r>
      <w:r>
        <w:rPr>
          <w:rFonts w:ascii="Times New Roman" w:eastAsia="Times New Roman" w:hAnsi="Times New Roman" w:cs="Times New Roman"/>
          <w:iCs/>
          <w:sz w:val="26"/>
          <w:szCs w:val="26"/>
          <w:lang w:eastAsia="ru-RU"/>
        </w:rPr>
        <w:t>,</w:t>
      </w:r>
      <w:r>
        <w:rPr>
          <w:rFonts w:ascii="Times New Roman" w:eastAsia="Times New Roman" w:hAnsi="Times New Roman" w:cs="Times New Roman"/>
          <w:sz w:val="26"/>
          <w:szCs w:val="26"/>
          <w:lang w:eastAsia="ru-RU"/>
        </w:rPr>
        <w:t xml:space="preserve"> стоянок автомобильного транспорта, объектов, связанных с проживанием граждан и не оказывающих негативного воздействия на окружающую среду,</w:t>
      </w:r>
      <w:r>
        <w:rPr>
          <w:rFonts w:ascii="Times New Roman" w:eastAsia="Times New Roman" w:hAnsi="Times New Roman" w:cs="Times New Roman"/>
          <w:iCs/>
          <w:sz w:val="26"/>
          <w:szCs w:val="26"/>
          <w:lang w:eastAsia="ru-RU"/>
        </w:rPr>
        <w:t xml:space="preserve"> иных объектов согласно градостроительным регламентам.</w:t>
      </w:r>
    </w:p>
    <w:p>
      <w:pPr>
        <w:spacing w:after="0" w:line="240" w:lineRule="auto"/>
        <w:ind w:firstLine="720"/>
        <w:jc w:val="both"/>
        <w:rPr>
          <w:rFonts w:ascii="Times New Roman" w:eastAsia="Times New Roman" w:hAnsi="Times New Roman" w:cs="Times New Roman"/>
          <w:iCs/>
          <w:sz w:val="26"/>
          <w:szCs w:val="26"/>
          <w:lang w:eastAsia="ru-RU"/>
        </w:rPr>
        <w:sectPr>
          <w:pgSz w:w="11906" w:h="16838"/>
          <w:pgMar w:top="1134" w:right="850" w:bottom="1134" w:left="1701" w:header="708" w:footer="708" w:gutter="0"/>
          <w:cols w:space="708"/>
          <w:docGrid w:linePitch="360"/>
        </w:sectPr>
      </w:pPr>
      <w:r>
        <w:rPr>
          <w:rFonts w:ascii="Times New Roman" w:eastAsia="Times New Roman" w:hAnsi="Times New Roman" w:cs="Times New Roman"/>
          <w:iCs/>
          <w:sz w:val="26"/>
          <w:szCs w:val="26"/>
          <w:lang w:eastAsia="ru-RU"/>
        </w:rPr>
        <w:t>В территориальной зоне разрешено размещение объектов коммунального обслуживания, если их размещение не влияет на окружающую среду, не причиняет неудобства жителям, не требует установления санитарной или охранной зоны, а площадь земельных участков под названными объектами, не превышает 20% от площади территории зоны</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lastRenderedPageBreak/>
        <w:t xml:space="preserve">Таблица 32.1. </w:t>
      </w:r>
      <w:r>
        <w:rPr>
          <w:rFonts w:ascii="Times New Roman" w:eastAsia="Times New Roman" w:hAnsi="Times New Roman" w:cs="Times New Roman"/>
          <w:b/>
          <w:iCs/>
          <w:sz w:val="28"/>
          <w:szCs w:val="28"/>
          <w:lang w:eastAsia="ru-RU"/>
        </w:rPr>
        <w:t>Виды разрешенного использования зоны застройки малоэтажными жилыми домами (Ж-2)</w:t>
      </w:r>
    </w:p>
    <w:p>
      <w:pPr>
        <w:spacing w:after="0" w:line="240" w:lineRule="auto"/>
        <w:rPr>
          <w:rFonts w:ascii="Times New Roman" w:eastAsia="Times New Roman" w:hAnsi="Times New Roman" w:cs="Times New Roman"/>
          <w:sz w:val="24"/>
          <w:szCs w:val="24"/>
          <w:lang w:eastAsia="ru-RU"/>
        </w:rPr>
      </w:pP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Ж-2. Зона застройки малоэтажными жилыми домами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2.1.1</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Малоэтажная многоквартирная жилая застройка</w:t>
            </w:r>
          </w:p>
        </w:tc>
        <w:tc>
          <w:tcPr>
            <w:tcW w:w="10665" w:type="dxa"/>
            <w:shd w:val="clear" w:color="auto" w:fill="FFFFFF"/>
            <w:vAlign w:val="center"/>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малоэтажных многоквартирных домов (многоквартирные дома высотой до 4 этажей, включая мансардный);</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Arial"/>
                <w:sz w:val="24"/>
                <w:szCs w:val="24"/>
                <w:lang w:eastAsia="ru-RU"/>
              </w:rPr>
              <w:t>Блокированная жилая застройка</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для собственных нужд и иных вспомогательных сооружений;</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3.2.4</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Общежития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Pr>
                  <w:rFonts w:ascii="Times New Roman" w:eastAsia="Times New Roman" w:hAnsi="Times New Roman" w:cs="Times New Roman"/>
                  <w:sz w:val="24"/>
                  <w:szCs w:val="24"/>
                  <w:lang w:eastAsia="ru-RU"/>
                </w:rPr>
                <w:t>кодом 4.7</w:t>
              </w:r>
            </w:hyperlink>
          </w:p>
        </w:tc>
      </w:tr>
      <w:tr>
        <w:trPr>
          <w:trHeight w:val="1224"/>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3.4.1</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Амбулаторно-поликлиническое обслуживание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Площадки для занятий спортом</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2.1</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Для индивидуального жилищного строительства</w:t>
            </w:r>
          </w:p>
        </w:tc>
        <w:tc>
          <w:tcPr>
            <w:tcW w:w="10665" w:type="dxa"/>
            <w:shd w:val="clear" w:color="auto" w:fill="FFFFFF"/>
            <w:vAlign w:val="center"/>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выращивание сельскохозяйственных культур;</w:t>
            </w:r>
          </w:p>
          <w:p>
            <w:pPr>
              <w:widowControl w:val="0"/>
              <w:autoSpaceDE w:val="0"/>
              <w:autoSpaceDN w:val="0"/>
              <w:adjustRightInd w:val="0"/>
              <w:spacing w:after="0" w:line="240" w:lineRule="auto"/>
              <w:ind w:firstLine="317"/>
              <w:jc w:val="both"/>
              <w:rPr>
                <w:rFonts w:ascii="Calibri" w:hAnsi="Calibri"/>
                <w:color w:val="000000"/>
                <w:sz w:val="18"/>
                <w:szCs w:val="18"/>
              </w:rPr>
            </w:pPr>
            <w:r>
              <w:rPr>
                <w:rFonts w:ascii="Times New Roman" w:eastAsia="Times New Roman" w:hAnsi="Times New Roman" w:cs="Times New Roman"/>
                <w:sz w:val="24"/>
                <w:szCs w:val="24"/>
                <w:lang w:eastAsia="ru-RU"/>
              </w:rPr>
              <w:t>размещение гаражей для собственных нужд и хозяйственных построек</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2.5</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Среднеэтажная жилая застройка</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многоквартирных домов этажностью не выше восьми этажей;</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и озеленение;</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подземных гаражей и автостоянок;</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w:t>
            </w:r>
            <w:r>
              <w:rPr>
                <w:rFonts w:ascii="Times New Roman" w:eastAsia="Times New Roman" w:hAnsi="Times New Roman" w:cs="Times New Roman"/>
                <w:sz w:val="24"/>
                <w:szCs w:val="24"/>
                <w:lang w:eastAsia="ru-RU"/>
              </w:rPr>
              <w:lastRenderedPageBreak/>
              <w:t>многоквартирном доме не составляет более 20% общей площади помещений дома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2.7.2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для собственных нужд</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Социальное обслуживание</w:t>
            </w:r>
          </w:p>
        </w:tc>
        <w:tc>
          <w:tcPr>
            <w:tcW w:w="10665" w:type="dxa"/>
            <w:shd w:val="clear" w:color="auto" w:fill="FFFFFF"/>
            <w:vAlign w:val="center"/>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3.8.1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управление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4.5</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Банковская и страховая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устройства мест общественного питания </w:t>
            </w:r>
            <w:r>
              <w:rPr>
                <w:rFonts w:ascii="Times New Roman" w:eastAsia="Times New Roman" w:hAnsi="Times New Roman" w:cs="Times New Roman"/>
                <w:sz w:val="24"/>
                <w:szCs w:val="24"/>
                <w:lang w:eastAsia="ru-RU"/>
              </w:rPr>
              <w:lastRenderedPageBreak/>
              <w:t>(рестораны, кафе, столовые, закусочные, бары)</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4.7</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Гостиничное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гостиниц.</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4.8.1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Развлекательные мероприятия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317"/>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835" w:type="dxa"/>
            <w:shd w:val="clear" w:color="auto" w:fill="FFFFFF"/>
          </w:tcPr>
          <w:p>
            <w:pPr>
              <w:widowControl w:val="0"/>
              <w:tabs>
                <w:tab w:val="left" w:pos="317"/>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tabs>
                <w:tab w:val="left" w:pos="317"/>
              </w:tabs>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tabs>
                <w:tab w:val="left" w:pos="317"/>
              </w:tabs>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iCs/>
          <w:sz w:val="24"/>
          <w:szCs w:val="24"/>
          <w:lang w:eastAsia="ru-RU"/>
        </w:rPr>
      </w:pP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32.2.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pPr>
        <w:spacing w:after="0" w:line="240" w:lineRule="auto"/>
        <w:rPr>
          <w:rFonts w:ascii="Times New Roman" w:eastAsia="Times New Roman" w:hAnsi="Times New Roman" w:cs="Times New Roman"/>
          <w:sz w:val="24"/>
          <w:szCs w:val="24"/>
          <w:lang w:eastAsia="ru-RU"/>
        </w:rPr>
      </w:pPr>
    </w:p>
    <w:tbl>
      <w:tblPr>
        <w:tblStyle w:val="2a"/>
        <w:tblW w:w="15026" w:type="dxa"/>
        <w:tblInd w:w="-289" w:type="dxa"/>
        <w:tblLook w:val="04A0" w:firstRow="1" w:lastRow="0" w:firstColumn="1" w:lastColumn="0" w:noHBand="0" w:noVBand="1"/>
      </w:tblPr>
      <w:tblGrid>
        <w:gridCol w:w="710"/>
        <w:gridCol w:w="2132"/>
        <w:gridCol w:w="1435"/>
        <w:gridCol w:w="1435"/>
        <w:gridCol w:w="1799"/>
        <w:gridCol w:w="1435"/>
        <w:gridCol w:w="1435"/>
        <w:gridCol w:w="1713"/>
        <w:gridCol w:w="1435"/>
        <w:gridCol w:w="1497"/>
      </w:tblGrid>
      <w:tr>
        <w:tc>
          <w:tcPr>
            <w:tcW w:w="708"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4"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4"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08"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1799"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583"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97"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494"/>
        </w:trPr>
        <w:tc>
          <w:tcPr>
            <w:tcW w:w="708"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799"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71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97"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08"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2.1.1</w:t>
            </w:r>
          </w:p>
        </w:tc>
        <w:tc>
          <w:tcPr>
            <w:tcW w:w="2134" w:type="dxa"/>
            <w:vAlign w:val="center"/>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Малоэтажная многоквартирная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xml:space="preserve">. 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50</w:t>
            </w:r>
          </w:p>
        </w:tc>
        <w:tc>
          <w:tcPr>
            <w:tcW w:w="1497"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14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2.3</w:t>
            </w:r>
          </w:p>
        </w:tc>
        <w:tc>
          <w:tcPr>
            <w:tcW w:w="2134" w:type="dxa"/>
          </w:tcPr>
          <w:p>
            <w:pPr>
              <w:widowControl w:val="0"/>
              <w:autoSpaceDE w:val="0"/>
              <w:autoSpaceDN w:val="0"/>
              <w:adjustRightInd w:val="0"/>
              <w:rPr>
                <w:rFonts w:ascii="Times New Roman" w:eastAsia="Calibri" w:hAnsi="Times New Roman" w:cs="Times New Roman"/>
                <w:iCs/>
                <w:sz w:val="20"/>
                <w:szCs w:val="20"/>
              </w:rPr>
            </w:pPr>
            <w:r>
              <w:rPr>
                <w:rFonts w:ascii="Times New Roman" w:eastAsia="Times New Roman" w:hAnsi="Times New Roman" w:cs="Arial"/>
                <w:sz w:val="20"/>
                <w:szCs w:val="20"/>
                <w:lang w:eastAsia="ru-RU"/>
              </w:rPr>
              <w:t>Блокированная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w:t>
            </w:r>
          </w:p>
        </w:tc>
        <w:tc>
          <w:tcPr>
            <w:tcW w:w="1799"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xml:space="preserve">. 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497"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14 м.</w:t>
            </w:r>
          </w:p>
        </w:tc>
      </w:tr>
      <w:tr>
        <w:tc>
          <w:tcPr>
            <w:tcW w:w="708"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3.2.4</w:t>
            </w:r>
          </w:p>
        </w:tc>
        <w:tc>
          <w:tcPr>
            <w:tcW w:w="2134" w:type="dxa"/>
            <w:vAlign w:val="center"/>
          </w:tcPr>
          <w:p>
            <w:pPr>
              <w:widowControl w:val="0"/>
              <w:tabs>
                <w:tab w:val="left" w:pos="540"/>
                <w:tab w:val="num" w:pos="720"/>
                <w:tab w:val="left" w:pos="900"/>
                <w:tab w:val="left" w:pos="1080"/>
                <w:tab w:val="left" w:pos="1260"/>
              </w:tabs>
              <w:rPr>
                <w:rFonts w:ascii="Times New Roman" w:eastAsia="Times New Roman" w:hAnsi="Times New Roman" w:cs="Times New Roman"/>
                <w:b/>
                <w:iCs/>
                <w:sz w:val="20"/>
                <w:szCs w:val="20"/>
                <w:lang w:eastAsia="ru-RU"/>
              </w:rPr>
            </w:pPr>
            <w:r>
              <w:rPr>
                <w:rFonts w:ascii="Times New Roman" w:eastAsia="Times New Roman" w:hAnsi="Times New Roman" w:cs="Times New Roman"/>
                <w:sz w:val="20"/>
                <w:szCs w:val="20"/>
                <w:lang w:eastAsia="ru-RU"/>
              </w:rPr>
              <w:t>Общежития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Амбулаторно-поликлиническое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Площадки для занятий спортом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34"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 xml:space="preserve">Земельные участки (территории) общего </w:t>
            </w:r>
            <w:r>
              <w:rPr>
                <w:rFonts w:ascii="Times New Roman" w:eastAsia="Times New Roman" w:hAnsi="Times New Roman" w:cs="Times New Roman"/>
                <w:sz w:val="20"/>
                <w:szCs w:val="20"/>
                <w:lang w:eastAsia="ru-RU"/>
              </w:rPr>
              <w:lastRenderedPageBreak/>
              <w:t>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c>
          <w:tcPr>
            <w:tcW w:w="708"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2.1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индивидуального жилищного строительства</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w:t>
            </w:r>
          </w:p>
        </w:tc>
        <w:tc>
          <w:tcPr>
            <w:tcW w:w="1799"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w:t>
            </w:r>
          </w:p>
          <w:p>
            <w:pPr>
              <w:ind w:hanging="33"/>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Минимальное расстояние от границ земельного участка до: </w:t>
            </w:r>
          </w:p>
          <w:p>
            <w:pPr>
              <w:ind w:left="-33" w:firstLine="33"/>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основного строения (жилого дома) –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прочих построек – </w:t>
            </w:r>
            <w:smartTag w:uri="urn:schemas-microsoft-com:office:smarttags" w:element="metricconverter">
              <w:smartTagPr>
                <w:attr w:name="ProductID" w:val="1 м"/>
              </w:smartTagPr>
              <w:r>
                <w:rPr>
                  <w:rFonts w:ascii="Times New Roman" w:eastAsia="Times New Roman" w:hAnsi="Times New Roman" w:cs="Times New Roman"/>
                  <w:color w:val="000000"/>
                  <w:sz w:val="20"/>
                  <w:szCs w:val="20"/>
                  <w:lang w:eastAsia="ru-RU"/>
                </w:rPr>
                <w:t>1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выгреб, септик, надворный туалет– </w:t>
            </w:r>
            <w:smartTag w:uri="urn:schemas-microsoft-com:office:smarttags" w:element="metricconverter">
              <w:smartTagPr>
                <w:attr w:name="ProductID" w:val="2 м"/>
              </w:smartTagPr>
              <w:r>
                <w:rPr>
                  <w:rFonts w:ascii="Times New Roman" w:eastAsia="Times New Roman" w:hAnsi="Times New Roman" w:cs="Times New Roman"/>
                  <w:color w:val="000000"/>
                  <w:sz w:val="20"/>
                  <w:szCs w:val="20"/>
                  <w:lang w:eastAsia="ru-RU"/>
                </w:rPr>
                <w:t>2 м</w:t>
              </w:r>
            </w:smartTag>
            <w:r>
              <w:rPr>
                <w:rFonts w:ascii="Times New Roman" w:eastAsia="Times New Roman" w:hAnsi="Times New Roman" w:cs="Times New Roman"/>
                <w:color w:val="000000"/>
                <w:sz w:val="20"/>
                <w:szCs w:val="20"/>
                <w:lang w:eastAsia="ru-RU"/>
              </w:rPr>
              <w:t>;</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от стволов высокорослых деревьев – </w:t>
            </w:r>
            <w:smartTag w:uri="urn:schemas-microsoft-com:office:smarttags" w:element="metricconverter">
              <w:smartTagPr>
                <w:attr w:name="ProductID" w:val="4 м"/>
              </w:smartTagPr>
              <w:r>
                <w:rPr>
                  <w:rFonts w:ascii="Times New Roman" w:eastAsia="Times New Roman" w:hAnsi="Times New Roman" w:cs="Times New Roman"/>
                  <w:color w:val="000000"/>
                  <w:sz w:val="20"/>
                  <w:szCs w:val="20"/>
                  <w:lang w:eastAsia="ru-RU"/>
                </w:rPr>
                <w:t>4 м</w:t>
              </w:r>
            </w:smartTag>
            <w:r>
              <w:rPr>
                <w:rFonts w:ascii="Times New Roman" w:eastAsia="Times New Roman" w:hAnsi="Times New Roman" w:cs="Times New Roman"/>
                <w:color w:val="000000"/>
                <w:sz w:val="20"/>
                <w:szCs w:val="20"/>
                <w:lang w:eastAsia="ru-RU"/>
              </w:rPr>
              <w:t xml:space="preserve">, среднерослых – </w:t>
            </w:r>
            <w:smartTag w:uri="urn:schemas-microsoft-com:office:smarttags" w:element="metricconverter">
              <w:smartTagPr>
                <w:attr w:name="ProductID" w:val="2 м"/>
              </w:smartTagPr>
              <w:r>
                <w:rPr>
                  <w:rFonts w:ascii="Times New Roman" w:eastAsia="Times New Roman" w:hAnsi="Times New Roman" w:cs="Times New Roman"/>
                  <w:color w:val="000000"/>
                  <w:sz w:val="20"/>
                  <w:szCs w:val="20"/>
                  <w:lang w:eastAsia="ru-RU"/>
                </w:rPr>
                <w:t>2 м</w:t>
              </w:r>
            </w:smartTag>
            <w:r>
              <w:rPr>
                <w:rFonts w:ascii="Times New Roman" w:eastAsia="Times New Roman" w:hAnsi="Times New Roman" w:cs="Times New Roman"/>
                <w:color w:val="000000"/>
                <w:sz w:val="20"/>
                <w:szCs w:val="20"/>
                <w:lang w:eastAsia="ru-RU"/>
              </w:rPr>
              <w:t xml:space="preserve">; </w:t>
            </w:r>
          </w:p>
          <w:p>
            <w:pPr>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от кустарников – </w:t>
            </w:r>
            <w:smartTag w:uri="urn:schemas-microsoft-com:office:smarttags" w:element="metricconverter">
              <w:smartTagPr>
                <w:attr w:name="ProductID" w:val="1 м"/>
              </w:smartTagPr>
              <w:r>
                <w:rPr>
                  <w:rFonts w:ascii="Times New Roman" w:eastAsia="Times New Roman" w:hAnsi="Times New Roman" w:cs="Times New Roman"/>
                  <w:color w:val="000000"/>
                  <w:sz w:val="20"/>
                  <w:szCs w:val="20"/>
                  <w:lang w:eastAsia="ru-RU"/>
                </w:rPr>
                <w:t>1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Высота жилых домов (от уровня земли до верха плоской крыши или до конька скатной крыши) – не более </w:t>
            </w:r>
            <w:smartTag w:uri="urn:schemas-microsoft-com:office:smarttags" w:element="metricconverter">
              <w:smartTagPr>
                <w:attr w:name="ProductID" w:val="12 м"/>
              </w:smartTagPr>
              <w:r>
                <w:rPr>
                  <w:rFonts w:ascii="Times New Roman" w:eastAsia="Times New Roman" w:hAnsi="Times New Roman" w:cs="Times New Roman"/>
                  <w:color w:val="000000"/>
                  <w:sz w:val="20"/>
                  <w:szCs w:val="20"/>
                  <w:lang w:eastAsia="ru-RU"/>
                </w:rPr>
                <w:t>12 м</w:t>
              </w:r>
            </w:smartTag>
            <w:r>
              <w:rPr>
                <w:rFonts w:ascii="Times New Roman" w:eastAsia="Times New Roman" w:hAnsi="Times New Roman" w:cs="Times New Roman"/>
                <w:color w:val="000000"/>
                <w:sz w:val="20"/>
                <w:szCs w:val="20"/>
                <w:lang w:eastAsia="ru-RU"/>
              </w:rPr>
              <w:t>.</w:t>
            </w:r>
          </w:p>
          <w:p>
            <w:pPr>
              <w:widowControl w:val="0"/>
              <w:tabs>
                <w:tab w:val="left" w:pos="540"/>
                <w:tab w:val="num" w:pos="720"/>
                <w:tab w:val="left" w:pos="900"/>
                <w:tab w:val="left" w:pos="1080"/>
                <w:tab w:val="left" w:pos="1260"/>
              </w:tabs>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Высота вспомогательных зданий и сооружений и прочих построек (от уровня земли до верха плоской крыши или до конька скатной крыши) – не более </w:t>
            </w:r>
            <w:smartTag w:uri="urn:schemas-microsoft-com:office:smarttags" w:element="metricconverter">
              <w:smartTagPr>
                <w:attr w:name="ProductID" w:val="4 м"/>
              </w:smartTagPr>
              <w:r>
                <w:rPr>
                  <w:rFonts w:ascii="Times New Roman" w:eastAsia="Times New Roman" w:hAnsi="Times New Roman" w:cs="Times New Roman"/>
                  <w:color w:val="000000"/>
                  <w:sz w:val="20"/>
                  <w:szCs w:val="20"/>
                  <w:lang w:eastAsia="ru-RU"/>
                </w:rPr>
                <w:t>4 м.</w:t>
              </w:r>
            </w:smartTag>
          </w:p>
        </w:tc>
        <w:tc>
          <w:tcPr>
            <w:tcW w:w="1435"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0</w:t>
            </w:r>
          </w:p>
        </w:tc>
        <w:tc>
          <w:tcPr>
            <w:tcW w:w="1497"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Минимальная ширина земельного участка </w:t>
            </w:r>
            <w:smartTag w:uri="urn:schemas-microsoft-com:office:smarttags" w:element="metricconverter">
              <w:smartTagPr>
                <w:attr w:name="ProductID" w:val="28 м"/>
              </w:smartTagPr>
              <w:r>
                <w:rPr>
                  <w:rFonts w:ascii="Times New Roman" w:eastAsia="Times New Roman" w:hAnsi="Times New Roman" w:cs="Times New Roman"/>
                  <w:color w:val="000000"/>
                  <w:sz w:val="20"/>
                  <w:szCs w:val="20"/>
                  <w:lang w:eastAsia="ru-RU"/>
                </w:rPr>
                <w:t>28 м.</w:t>
              </w:r>
            </w:smartTag>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2.5</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Среднеэтажная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w:t>
            </w:r>
            <w:r>
              <w:rPr>
                <w:rFonts w:ascii="Times New Roman" w:eastAsia="Times New Roman" w:hAnsi="Times New Roman" w:cs="Times New Roman"/>
                <w:color w:val="000000"/>
                <w:sz w:val="20"/>
                <w:szCs w:val="20"/>
                <w:lang w:eastAsia="ru-RU"/>
              </w:rPr>
              <w:lastRenderedPageBreak/>
              <w:t xml:space="preserve">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При этом между домами, расположенными на противоположных сторонах проезда, должны быть учтены противопожарные расстояния.</w:t>
            </w:r>
          </w:p>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16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3.8.1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Социальное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границ </w:t>
            </w:r>
            <w:r>
              <w:rPr>
                <w:rFonts w:ascii="Times New Roman" w:eastAsia="Times New Roman" w:hAnsi="Times New Roman" w:cs="Times New Roman"/>
                <w:sz w:val="20"/>
                <w:szCs w:val="20"/>
                <w:lang w:eastAsia="ru-RU"/>
              </w:rPr>
              <w:lastRenderedPageBreak/>
              <w:t>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3.3</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Размещение гаражей для собственных нужд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08"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Банковская и страховая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134"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4.7</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Гостиничное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p>
            <w:pPr>
              <w:rPr>
                <w:rFonts w:ascii="Times New Roman" w:eastAsia="Times New Roman" w:hAnsi="Times New Roman" w:cs="Times New Roman"/>
                <w:sz w:val="20"/>
                <w:szCs w:val="20"/>
                <w:lang w:eastAsia="ru-RU"/>
              </w:rPr>
            </w:pP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4.8.1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Развлекательные мероприятия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w:t>
            </w:r>
            <w:r>
              <w:rPr>
                <w:rFonts w:ascii="Times New Roman" w:eastAsia="Times New Roman" w:hAnsi="Times New Roman" w:cs="Times New Roman"/>
                <w:sz w:val="20"/>
                <w:szCs w:val="20"/>
                <w:lang w:eastAsia="ru-RU"/>
              </w:rPr>
              <w:lastRenderedPageBreak/>
              <w:t>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w:t>
            </w:r>
            <w:r>
              <w:rPr>
                <w:rFonts w:ascii="Times New Roman" w:eastAsia="Times New Roman" w:hAnsi="Times New Roman" w:cs="Times New Roman"/>
                <w:sz w:val="20"/>
                <w:szCs w:val="20"/>
                <w:lang w:eastAsia="ru-RU"/>
              </w:rPr>
              <w:lastRenderedPageBreak/>
              <w:t>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lastRenderedPageBreak/>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08"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08" w:type="dxa"/>
          </w:tcPr>
          <w:p>
            <w:pPr>
              <w:widowControl w:val="0"/>
              <w:tabs>
                <w:tab w:val="left" w:pos="317"/>
                <w:tab w:val="num" w:pos="720"/>
                <w:tab w:val="left" w:pos="900"/>
                <w:tab w:val="left" w:pos="1080"/>
                <w:tab w:val="left" w:pos="1260"/>
              </w:tabs>
              <w:ind w:hanging="108"/>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134"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179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71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9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bl>
    <w:p>
      <w:pPr>
        <w:pStyle w:val="3"/>
        <w:rPr>
          <w:rFonts w:eastAsia="Times New Roman"/>
          <w:lang w:eastAsia="ru-RU"/>
        </w:rPr>
      </w:pPr>
      <w:bookmarkStart w:id="205" w:name="_Toc80780351"/>
      <w:bookmarkStart w:id="206" w:name="_Toc99015370"/>
      <w:r>
        <w:rPr>
          <w:rFonts w:eastAsia="Times New Roman"/>
          <w:lang w:eastAsia="ru-RU"/>
        </w:rPr>
        <w:t>Статья 27. Ж-3. Зона застройки среднеэтажными жилыми домами</w:t>
      </w:r>
      <w:bookmarkEnd w:id="205"/>
      <w:bookmarkEnd w:id="206"/>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Зона предназначена для застройки многоквартирными среднеэтажными жилыми домами (</w:t>
      </w:r>
      <w:r>
        <w:rPr>
          <w:rFonts w:ascii="Times New Roman" w:eastAsia="Times New Roman" w:hAnsi="Times New Roman" w:cs="Times New Roman"/>
          <w:sz w:val="26"/>
          <w:szCs w:val="26"/>
          <w:lang w:eastAsia="ru-RU"/>
        </w:rPr>
        <w:t>пригодными для круглогодичного проживания, высотой не выше восьми надземных этажей</w:t>
      </w:r>
      <w:r>
        <w:rPr>
          <w:rFonts w:ascii="Times New Roman" w:eastAsia="Times New Roman" w:hAnsi="Times New Roman" w:cs="Times New Roman"/>
          <w:iCs/>
          <w:sz w:val="26"/>
          <w:szCs w:val="26"/>
          <w:lang w:eastAsia="ru-RU"/>
        </w:rPr>
        <w:t>).</w:t>
      </w: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Допускается размещение объектов социального и культурно-бытового обслуживания населения преимущественно местного значения</w:t>
      </w:r>
      <w:r>
        <w:rPr>
          <w:rFonts w:ascii="Times New Roman" w:eastAsia="Times New Roman" w:hAnsi="Times New Roman" w:cs="Times New Roman"/>
          <w:sz w:val="26"/>
          <w:szCs w:val="26"/>
          <w:lang w:eastAsia="ru-RU"/>
        </w:rPr>
        <w:t>, коммунально-бытового назначения</w:t>
      </w:r>
      <w:r>
        <w:rPr>
          <w:rFonts w:ascii="Times New Roman" w:eastAsia="Times New Roman" w:hAnsi="Times New Roman" w:cs="Times New Roman"/>
          <w:iCs/>
          <w:sz w:val="26"/>
          <w:szCs w:val="26"/>
          <w:lang w:eastAsia="ru-RU"/>
        </w:rPr>
        <w:t>,</w:t>
      </w:r>
      <w:r>
        <w:rPr>
          <w:rFonts w:ascii="Times New Roman" w:eastAsia="Times New Roman" w:hAnsi="Times New Roman" w:cs="Times New Roman"/>
          <w:sz w:val="26"/>
          <w:szCs w:val="26"/>
          <w:lang w:eastAsia="ru-RU"/>
        </w:rPr>
        <w:t xml:space="preserve"> стоянок автомобильного транспорта, объектов, связанных с проживанием граждан и не оказывающих негативного воздействия на окружающую среду,</w:t>
      </w:r>
      <w:r>
        <w:rPr>
          <w:rFonts w:ascii="Times New Roman" w:eastAsia="Times New Roman" w:hAnsi="Times New Roman" w:cs="Times New Roman"/>
          <w:iCs/>
          <w:sz w:val="26"/>
          <w:szCs w:val="26"/>
          <w:lang w:eastAsia="ru-RU"/>
        </w:rPr>
        <w:t xml:space="preserve"> иных объектов согласно градостроительным регламентам.</w:t>
      </w:r>
    </w:p>
    <w:p>
      <w:pPr>
        <w:spacing w:after="0" w:line="240" w:lineRule="auto"/>
        <w:ind w:firstLine="720"/>
        <w:jc w:val="both"/>
        <w:rPr>
          <w:rFonts w:ascii="Times New Roman" w:eastAsia="Times New Roman" w:hAnsi="Times New Roman" w:cs="Times New Roman"/>
          <w:iCs/>
          <w:spacing w:val="-2"/>
          <w:sz w:val="26"/>
          <w:szCs w:val="26"/>
          <w:lang w:eastAsia="ru-RU"/>
        </w:rPr>
      </w:pPr>
      <w:r>
        <w:rPr>
          <w:rFonts w:ascii="Times New Roman" w:eastAsia="Times New Roman" w:hAnsi="Times New Roman" w:cs="Times New Roman"/>
          <w:iCs/>
          <w:spacing w:val="-2"/>
          <w:sz w:val="26"/>
          <w:szCs w:val="26"/>
          <w:lang w:eastAsia="ru-RU"/>
        </w:rPr>
        <w:t>В территориальной зоне разрешено размещение объектов коммунального обслуживания, если их размещение не влияет на окружающую среду, не причиняет неудобства жителям, не требует установления санитарной или охранной зоны, а площадь земельных участков под названными объектами, не превышает 20% от площади территории зоны.</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33.1. </w:t>
      </w:r>
      <w:r>
        <w:rPr>
          <w:rFonts w:ascii="Times New Roman" w:eastAsia="Times New Roman" w:hAnsi="Times New Roman" w:cs="Times New Roman"/>
          <w:b/>
          <w:iCs/>
          <w:sz w:val="28"/>
          <w:szCs w:val="28"/>
          <w:lang w:eastAsia="ru-RU"/>
        </w:rPr>
        <w:t>Виды разрешенного использования зоны застройки среднеэтажными жилыми домами (Ж-3)</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Ж-3. Зона застройки среднеэтажными жилыми домами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2.5</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Среднеэтажная жилая застройка</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многоквартирных домов этажностью не выше восьми этажей;</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и озеленение;</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подземных гаражей и автостоянок;</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Социальное 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trPr>
          <w:trHeight w:val="1224"/>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3.4.1</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Амбулаторно-поликлиническое обслуживание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Площадки для занятий спортом</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Arial"/>
                <w:sz w:val="24"/>
                <w:szCs w:val="24"/>
                <w:lang w:eastAsia="ru-RU"/>
              </w:rPr>
              <w:t>Блокированная жилая застройка</w:t>
            </w:r>
          </w:p>
        </w:tc>
        <w:tc>
          <w:tcPr>
            <w:tcW w:w="1066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w:t>
            </w:r>
            <w:r>
              <w:rPr>
                <w:rFonts w:ascii="Times New Roman" w:eastAsia="Times New Roman" w:hAnsi="Times New Roman" w:cs="Times New Roman"/>
                <w:sz w:val="24"/>
                <w:szCs w:val="24"/>
                <w:lang w:eastAsia="ru-RU"/>
              </w:rPr>
              <w:lastRenderedPageBreak/>
              <w:t>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разведение декоративных и плодовых деревьев, овощных и ягодных культур;</w:t>
            </w:r>
          </w:p>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индивидуальных гаражей и иных вспомогательных сооружений;</w:t>
            </w:r>
          </w:p>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Arial"/>
                <w:sz w:val="24"/>
                <w:szCs w:val="24"/>
                <w:lang w:eastAsia="ru-RU"/>
              </w:rPr>
              <w:t>обустройство спортивных и детских площадок, площадок для отдыха</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2.1.1</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Малоэтажная многоквартирная жилая застройка</w:t>
            </w:r>
          </w:p>
        </w:tc>
        <w:tc>
          <w:tcPr>
            <w:tcW w:w="10665" w:type="dxa"/>
            <w:shd w:val="clear" w:color="auto" w:fill="FFFFFF"/>
            <w:vAlign w:val="center"/>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малоэтажных многоквартирных домов (многоквартирные дома высотой до 4 этажей, включая мансардный);</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2.7.2</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для собственных нужд</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Социальное обслуживание</w:t>
            </w:r>
          </w:p>
        </w:tc>
        <w:tc>
          <w:tcPr>
            <w:tcW w:w="10665" w:type="dxa"/>
            <w:shd w:val="clear" w:color="auto" w:fill="FFFFFF"/>
            <w:vAlign w:val="center"/>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Образование и просвещение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Pr>
                  <w:rFonts w:ascii="Times New Roman" w:eastAsia="Times New Roman" w:hAnsi="Times New Roman" w:cs="Times New Roman"/>
                  <w:sz w:val="24"/>
                  <w:szCs w:val="24"/>
                  <w:lang w:eastAsia="ru-RU"/>
                </w:rPr>
                <w:t>кодами 3.5.1</w:t>
              </w:r>
            </w:hyperlink>
            <w:r>
              <w:rPr>
                <w:rFonts w:ascii="Times New Roman" w:eastAsia="Times New Roman" w:hAnsi="Times New Roman" w:cs="Times New Roman"/>
                <w:sz w:val="24"/>
                <w:szCs w:val="24"/>
                <w:lang w:eastAsia="ru-RU"/>
              </w:rPr>
              <w:t xml:space="preserve"> - </w:t>
            </w:r>
            <w:hyperlink w:anchor="Par256" w:tooltip="Среднее и высшее профессиональное образование" w:history="1">
              <w:r>
                <w:rPr>
                  <w:rFonts w:ascii="Times New Roman" w:eastAsia="Times New Roman" w:hAnsi="Times New Roman" w:cs="Times New Roman"/>
                  <w:sz w:val="24"/>
                  <w:szCs w:val="24"/>
                  <w:lang w:eastAsia="ru-RU"/>
                </w:rPr>
                <w:t>3.5.2</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3.6.1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культурно-досуговой деятельности</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религиозных обрядов</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3.8.1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управление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3.10.1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Амбулаторное ветеринарное 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Рынки</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и (или) стоянок для автомобилей сотрудников и посетителей рынка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Банковская и страховая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4.6</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4.7</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Гостиничное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гостиниц.</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4.8.1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Развлекательные мероприятия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317"/>
                <w:tab w:val="num" w:pos="720"/>
                <w:tab w:val="left" w:pos="900"/>
                <w:tab w:val="left" w:pos="1080"/>
                <w:tab w:val="left" w:pos="1260"/>
              </w:tabs>
              <w:spacing w:after="0" w:line="240" w:lineRule="auto"/>
              <w:ind w:firstLine="2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835" w:type="dxa"/>
            <w:shd w:val="clear" w:color="auto" w:fill="FFFFFF"/>
          </w:tcPr>
          <w:p>
            <w:pPr>
              <w:widowControl w:val="0"/>
              <w:tabs>
                <w:tab w:val="left" w:pos="317"/>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tabs>
                <w:tab w:val="left" w:pos="317"/>
              </w:tabs>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tabs>
                <w:tab w:val="left" w:pos="317"/>
              </w:tabs>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t xml:space="preserve">Таблица 33.2.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90" w:type="dxa"/>
        <w:tblInd w:w="-289" w:type="dxa"/>
        <w:tblLook w:val="04A0" w:firstRow="1" w:lastRow="0" w:firstColumn="1" w:lastColumn="0" w:noHBand="0" w:noVBand="1"/>
      </w:tblPr>
      <w:tblGrid>
        <w:gridCol w:w="816"/>
        <w:gridCol w:w="2134"/>
        <w:gridCol w:w="1435"/>
        <w:gridCol w:w="1435"/>
        <w:gridCol w:w="2095"/>
        <w:gridCol w:w="1435"/>
        <w:gridCol w:w="1435"/>
        <w:gridCol w:w="1435"/>
        <w:gridCol w:w="1435"/>
        <w:gridCol w:w="1435"/>
      </w:tblGrid>
      <w:tr>
        <w:tc>
          <w:tcPr>
            <w:tcW w:w="816"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4"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40"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rPr>
          <w:trHeight w:val="2434"/>
        </w:trPr>
        <w:tc>
          <w:tcPr>
            <w:tcW w:w="816"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5"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05"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70"/>
        </w:trPr>
        <w:tc>
          <w:tcPr>
            <w:tcW w:w="816" w:type="dxa"/>
            <w:vMerge/>
          </w:tcPr>
          <w:p>
            <w:pPr>
              <w:rPr>
                <w:rFonts w:ascii="Times New Roman" w:eastAsia="Times New Roman" w:hAnsi="Times New Roman" w:cs="Times New Roman"/>
                <w:sz w:val="24"/>
                <w:szCs w:val="24"/>
                <w:lang w:eastAsia="ru-RU"/>
              </w:rPr>
            </w:pPr>
          </w:p>
        </w:tc>
        <w:tc>
          <w:tcPr>
            <w:tcW w:w="2134"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5"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35" w:type="dxa"/>
            <w:vMerge/>
          </w:tcPr>
          <w:p>
            <w:pPr>
              <w:rPr>
                <w:rFonts w:ascii="Times New Roman" w:eastAsia="Times New Roman" w:hAnsi="Times New Roman" w:cs="Times New Roman"/>
                <w:sz w:val="24"/>
                <w:szCs w:val="24"/>
                <w:lang w:eastAsia="ru-RU"/>
              </w:rPr>
            </w:pPr>
          </w:p>
        </w:tc>
      </w:tr>
      <w:tr>
        <w:tc>
          <w:tcPr>
            <w:tcW w:w="15090"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2.5</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Среднеэтажная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При этом между домами, расположенными на противоположных сторонах проезда, должны быть учтены противопожарные расстояния.</w:t>
            </w:r>
          </w:p>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Расстояние от хозяйственных построек до красных линий улиц и </w:t>
            </w:r>
            <w:r>
              <w:rPr>
                <w:rFonts w:ascii="Times New Roman" w:eastAsia="Times New Roman" w:hAnsi="Times New Roman" w:cs="Times New Roman"/>
                <w:color w:val="000000"/>
                <w:sz w:val="20"/>
                <w:szCs w:val="20"/>
                <w:lang w:eastAsia="ru-RU"/>
              </w:rPr>
              <w:lastRenderedPageBreak/>
              <w:t xml:space="preserve">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16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3.2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Социальное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Амбулаторно-поликлиническое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5.1.3</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Площадки для занятий спортом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34"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90"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2134" w:type="dxa"/>
          </w:tcPr>
          <w:p>
            <w:pPr>
              <w:widowControl w:val="0"/>
              <w:autoSpaceDE w:val="0"/>
              <w:autoSpaceDN w:val="0"/>
              <w:adjustRightInd w:val="0"/>
              <w:rPr>
                <w:rFonts w:ascii="Times New Roman" w:eastAsia="Calibri" w:hAnsi="Times New Roman" w:cs="Times New Roman"/>
                <w:iCs/>
                <w:sz w:val="20"/>
                <w:szCs w:val="20"/>
              </w:rPr>
            </w:pPr>
            <w:r>
              <w:rPr>
                <w:rFonts w:ascii="Times New Roman" w:eastAsia="Times New Roman" w:hAnsi="Times New Roman" w:cs="Arial"/>
                <w:sz w:val="20"/>
                <w:szCs w:val="20"/>
                <w:lang w:eastAsia="ru-RU"/>
              </w:rPr>
              <w:t>Блокированная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w:t>
            </w:r>
          </w:p>
        </w:tc>
        <w:tc>
          <w:tcPr>
            <w:tcW w:w="209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xml:space="preserve">. 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43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14 м.</w:t>
            </w:r>
          </w:p>
        </w:tc>
      </w:tr>
      <w:tr>
        <w:tc>
          <w:tcPr>
            <w:tcW w:w="816"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2.1.1</w:t>
            </w:r>
          </w:p>
        </w:tc>
        <w:tc>
          <w:tcPr>
            <w:tcW w:w="2134" w:type="dxa"/>
            <w:vAlign w:val="center"/>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Малоэтажная многоквартирная жилая застройка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Жилое строение, жилой дом должны отстоять от красной линии улиц не менее чем на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 xml:space="preserve">, от красной линии проездов не менее чем на </w:t>
            </w:r>
            <w:smartTag w:uri="urn:schemas-microsoft-com:office:smarttags" w:element="metricconverter">
              <w:smartTagPr>
                <w:attr w:name="ProductID" w:val="3 м"/>
              </w:smartTagPr>
              <w:r>
                <w:rPr>
                  <w:rFonts w:ascii="Times New Roman" w:eastAsia="Times New Roman" w:hAnsi="Times New Roman" w:cs="Times New Roman"/>
                  <w:color w:val="000000"/>
                  <w:sz w:val="20"/>
                  <w:szCs w:val="20"/>
                  <w:lang w:eastAsia="ru-RU"/>
                </w:rPr>
                <w:t>3 м</w:t>
              </w:r>
            </w:smartTag>
            <w:r>
              <w:rPr>
                <w:rFonts w:ascii="Times New Roman" w:eastAsia="Times New Roman" w:hAnsi="Times New Roman" w:cs="Times New Roman"/>
                <w:color w:val="000000"/>
                <w:sz w:val="20"/>
                <w:szCs w:val="20"/>
                <w:lang w:eastAsia="ru-RU"/>
              </w:rPr>
              <w:t xml:space="preserve">. Расстояние от хозяйственных построек до красных линий улиц и проездов должно быть не менее </w:t>
            </w:r>
            <w:smartTag w:uri="urn:schemas-microsoft-com:office:smarttags" w:element="metricconverter">
              <w:smartTagPr>
                <w:attr w:name="ProductID" w:val="5 м"/>
              </w:smartTagPr>
              <w:r>
                <w:rPr>
                  <w:rFonts w:ascii="Times New Roman" w:eastAsia="Times New Roman" w:hAnsi="Times New Roman" w:cs="Times New Roman"/>
                  <w:color w:val="000000"/>
                  <w:sz w:val="20"/>
                  <w:szCs w:val="20"/>
                  <w:lang w:eastAsia="ru-RU"/>
                </w:rPr>
                <w:t>5 м</w:t>
              </w:r>
            </w:smartTag>
            <w:r>
              <w:rPr>
                <w:rFonts w:ascii="Times New Roman" w:eastAsia="Times New Roman" w:hAnsi="Times New Roman" w:cs="Times New Roman"/>
                <w:color w:val="000000"/>
                <w:sz w:val="20"/>
                <w:szCs w:val="20"/>
                <w:lang w:eastAsia="ru-RU"/>
              </w:rPr>
              <w:t>.</w:t>
            </w:r>
          </w:p>
          <w:p>
            <w:pPr>
              <w:rPr>
                <w:rFonts w:ascii="Times New Roman" w:eastAsia="Times New Roman" w:hAnsi="Times New Roman" w:cs="Times New Roman"/>
                <w:color w:val="000000"/>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50</w:t>
            </w:r>
          </w:p>
        </w:tc>
        <w:tc>
          <w:tcPr>
            <w:tcW w:w="1435" w:type="dxa"/>
          </w:tcPr>
          <w:p>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Минимальная ширина земельного участка – 14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Размещение гаражей для собственных нужд </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Образование и просвещение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дошкольной образовательной организации, общеобразовательной организации до красной линии – 25 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3.6.1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Объекты культурно-досуговой деятельности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Осуществление религиозных обрядов</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3.8.1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Социальное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4.3</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Рынки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134"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Банковская и страховая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134"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w:t>
            </w:r>
            <w:r>
              <w:rPr>
                <w:rFonts w:ascii="Times New Roman" w:eastAsia="Times New Roman" w:hAnsi="Times New Roman" w:cs="Times New Roman"/>
                <w:sz w:val="20"/>
                <w:szCs w:val="20"/>
                <w:lang w:eastAsia="ru-RU"/>
              </w:rPr>
              <w:lastRenderedPageBreak/>
              <w:t>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w:t>
            </w:r>
            <w:r>
              <w:rPr>
                <w:rFonts w:ascii="Times New Roman" w:eastAsia="Times New Roman" w:hAnsi="Times New Roman" w:cs="Times New Roman"/>
                <w:sz w:val="20"/>
                <w:szCs w:val="20"/>
                <w:lang w:eastAsia="ru-RU"/>
              </w:rPr>
              <w:lastRenderedPageBreak/>
              <w:t>земельного участка – 20 м.</w:t>
            </w:r>
          </w:p>
        </w:tc>
      </w:tr>
      <w:tr>
        <w:tc>
          <w:tcPr>
            <w:tcW w:w="81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4.7</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Гостиничное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4.8.1</w:t>
            </w:r>
          </w:p>
        </w:tc>
        <w:tc>
          <w:tcPr>
            <w:tcW w:w="213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Развлекательные мероприятия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90"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81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4"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6" w:type="dxa"/>
          </w:tcPr>
          <w:p>
            <w:pPr>
              <w:widowControl w:val="0"/>
              <w:tabs>
                <w:tab w:val="left" w:pos="317"/>
                <w:tab w:val="num" w:pos="720"/>
                <w:tab w:val="left" w:pos="900"/>
                <w:tab w:val="left" w:pos="1080"/>
                <w:tab w:val="left" w:pos="1260"/>
              </w:tabs>
              <w:ind w:hanging="108"/>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134"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07" w:name="_Toc80780352"/>
      <w:bookmarkStart w:id="208" w:name="_Toc99015371"/>
      <w:r>
        <w:rPr>
          <w:rFonts w:eastAsia="Times New Roman"/>
          <w:lang w:eastAsia="ru-RU"/>
        </w:rPr>
        <w:t>Статья 28. ОД-1. Зона делового, общественного и коммерческого назначения</w:t>
      </w:r>
      <w:bookmarkEnd w:id="207"/>
      <w:bookmarkEnd w:id="208"/>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Зона предназначена для строительства, содержания и использования зданий административных, научно-исследовательских учреждений, объектов делового, финансового назначения, торговли, общественного питания, предпринимательской деятельности, иных объектов, связанных с обеспечением жизнедеятельности граждан. В данной территориальной зоне разрешено размещение объектов инженерного обеспечения, если площадь земельных участков под названными объектами, не превышает 20% от площади территории зоны.</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34.1. </w:t>
      </w:r>
      <w:r>
        <w:rPr>
          <w:rFonts w:ascii="Times New Roman" w:eastAsia="Times New Roman" w:hAnsi="Times New Roman" w:cs="Times New Roman"/>
          <w:b/>
          <w:iCs/>
          <w:sz w:val="28"/>
          <w:szCs w:val="28"/>
          <w:lang w:eastAsia="ru-RU"/>
        </w:rPr>
        <w:t>Виды разрешенного использования зоны делового, общественного и коммерческого назначения (ОД-1)</w:t>
      </w:r>
    </w:p>
    <w:tbl>
      <w:tblPr>
        <w:tblW w:w="166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gridCol w:w="1656"/>
      </w:tblGrid>
      <w:tr>
        <w:trPr>
          <w:gridAfter w:val="1"/>
          <w:wAfter w:w="1656" w:type="dxa"/>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lastRenderedPageBreak/>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gridAfter w:val="1"/>
          <w:wAfter w:w="1656" w:type="dxa"/>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gridAfter w:val="1"/>
          <w:wAfter w:w="1656" w:type="dxa"/>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ОД-1. Зона делового, общественного и коммерческого назначения</w:t>
            </w:r>
          </w:p>
        </w:tc>
      </w:tr>
      <w:tr>
        <w:trPr>
          <w:gridAfter w:val="1"/>
          <w:wAfter w:w="1656" w:type="dxa"/>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gridAfter w:val="1"/>
          <w:wAfter w:w="1656" w:type="dxa"/>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3.1.1</w:t>
            </w:r>
          </w:p>
        </w:tc>
        <w:tc>
          <w:tcPr>
            <w:tcW w:w="2835" w:type="dxa"/>
            <w:shd w:val="clear" w:color="auto" w:fill="FFFFFF"/>
            <w:vAlign w:val="center"/>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Предоставление коммунальных услуг</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3.1.2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1656" w:type="dxa"/>
          </w:tcPr>
          <w:p>
            <w:pPr>
              <w:widowControl w:val="0"/>
              <w:autoSpaceDE w:val="0"/>
              <w:autoSpaceDN w:val="0"/>
              <w:adjustRightInd w:val="0"/>
              <w:spacing w:after="0" w:line="240" w:lineRule="auto"/>
              <w:ind w:firstLine="720"/>
              <w:jc w:val="center"/>
              <w:rPr>
                <w:rFonts w:ascii="Arial" w:eastAsia="Times New Roman" w:hAnsi="Arial" w:cs="Arial"/>
                <w:sz w:val="20"/>
                <w:szCs w:val="20"/>
                <w:lang w:eastAsia="ru-RU"/>
              </w:rPr>
            </w:pPr>
            <w:bookmarkStart w:id="209" w:name="Par202"/>
            <w:bookmarkEnd w:id="209"/>
            <w:r>
              <w:rPr>
                <w:rFonts w:ascii="Arial" w:eastAsia="Times New Roman" w:hAnsi="Arial" w:cs="Arial"/>
                <w:sz w:val="20"/>
                <w:szCs w:val="20"/>
                <w:lang w:eastAsia="ru-RU"/>
              </w:rPr>
              <w:t>3.1.2</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Дома социального обслуживания</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домов престарелых, домов ребенка, детских домов, пунктов ночлега для бездомных граждан;</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для временного размещения вынужденных переселенцев, лиц, признанных беженцами</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Оказание социальной помощи населению</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некоммерческих фондов, благотворительных организаций, клубов по интересам</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Оказание услуг связи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3.3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3.4.1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Амбулаторно-поликлиническое обслуживание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3.6.1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культурно-досуговой деятельности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управление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Pr>
                  <w:rFonts w:ascii="Times New Roman" w:eastAsia="Times New Roman" w:hAnsi="Times New Roman" w:cs="Times New Roman"/>
                  <w:sz w:val="24"/>
                  <w:szCs w:val="24"/>
                  <w:lang w:eastAsia="ru-RU"/>
                </w:rPr>
                <w:t>кодами 3.8.1</w:t>
              </w:r>
            </w:hyperlink>
            <w:r>
              <w:rPr>
                <w:rFonts w:ascii="Times New Roman" w:eastAsia="Times New Roman" w:hAnsi="Times New Roman" w:cs="Times New Roman"/>
                <w:sz w:val="24"/>
                <w:szCs w:val="24"/>
                <w:lang w:eastAsia="ru-RU"/>
              </w:rPr>
              <w:t xml:space="preserve"> - </w:t>
            </w:r>
            <w:hyperlink w:anchor="Par298" w:tooltip="3.8.2" w:history="1">
              <w:r>
                <w:rPr>
                  <w:rFonts w:ascii="Times New Roman" w:eastAsia="Times New Roman" w:hAnsi="Times New Roman" w:cs="Times New Roman"/>
                  <w:sz w:val="24"/>
                  <w:szCs w:val="24"/>
                  <w:lang w:eastAsia="ru-RU"/>
                </w:rPr>
                <w:t>3.8.2</w:t>
              </w:r>
            </w:hyperlink>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Проведение научных исследований</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Объекты торговли (торговые центры, торгово-развлекательные </w:t>
            </w:r>
            <w:r>
              <w:rPr>
                <w:rFonts w:ascii="Times New Roman" w:eastAsia="Times New Roman" w:hAnsi="Times New Roman" w:cs="Times New Roman"/>
                <w:sz w:val="24"/>
                <w:szCs w:val="24"/>
                <w:lang w:eastAsia="ru-RU"/>
              </w:rPr>
              <w:lastRenderedPageBreak/>
              <w:t>центры (комплексы)</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w:t>
            </w:r>
            <w:r>
              <w:rPr>
                <w:rFonts w:ascii="Times New Roman" w:eastAsia="Times New Roman" w:hAnsi="Times New Roman" w:cs="Times New Roman"/>
                <w:sz w:val="24"/>
                <w:szCs w:val="24"/>
                <w:lang w:eastAsia="ru-RU"/>
              </w:rPr>
              <w:lastRenderedPageBreak/>
              <w:t>размещение гаражей и (или) стоянок для автомобилей сотрудников и посетителей торгового центра</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Рынки</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и (или) стоянок для автомобилей сотрудников и посетителей рынка</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Банковская и страховая деятельность</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4.7</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Гостиничное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гостиниц.</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4.8.1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Развлекательные мероприятия</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Выставочно-ярмарочная деятельность</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обороны и безопасности</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w:t>
            </w:r>
            <w:r>
              <w:rPr>
                <w:rFonts w:ascii="Times New Roman" w:eastAsia="Times New Roman" w:hAnsi="Times New Roman" w:cs="Times New Roman"/>
                <w:sz w:val="24"/>
                <w:szCs w:val="24"/>
                <w:lang w:eastAsia="ru-RU"/>
              </w:rPr>
              <w:lastRenderedPageBreak/>
              <w:t>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8.3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gridAfter w:val="1"/>
          <w:wAfter w:w="1656" w:type="dxa"/>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51"/>
              <w:jc w:val="both"/>
              <w:rPr>
                <w:rFonts w:ascii="Calibri" w:hAnsi="Calibri"/>
                <w:color w:val="000000"/>
                <w:sz w:val="18"/>
                <w:szCs w:val="18"/>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3.4.2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Стационарное медицинское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станций скорой помощи;</w:t>
            </w:r>
          </w:p>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площадок санитарной авиации</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Дошкольное, начальное и среднее общее </w:t>
            </w:r>
            <w:r>
              <w:rPr>
                <w:rFonts w:ascii="Times New Roman" w:eastAsia="Times New Roman" w:hAnsi="Times New Roman" w:cs="Times New Roman"/>
                <w:sz w:val="24"/>
                <w:szCs w:val="24"/>
                <w:lang w:eastAsia="ru-RU"/>
              </w:rPr>
              <w:lastRenderedPageBreak/>
              <w:t>образование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w:t>
            </w:r>
            <w:r>
              <w:rPr>
                <w:rFonts w:ascii="Times New Roman" w:eastAsia="Times New Roman" w:hAnsi="Times New Roman" w:cs="Times New Roman"/>
                <w:sz w:val="24"/>
                <w:szCs w:val="24"/>
                <w:lang w:eastAsia="ru-RU"/>
              </w:rPr>
              <w:lastRenderedPageBreak/>
              <w:t>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trPr>
          <w:gridAfter w:val="1"/>
          <w:wAfter w:w="1656" w:type="dxa"/>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3.5.2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Среднее и высшее профессиональное образование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Религиозное использование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Pr>
                  <w:rFonts w:ascii="Times New Roman" w:eastAsia="Times New Roman" w:hAnsi="Times New Roman" w:cs="Times New Roman"/>
                  <w:sz w:val="24"/>
                  <w:szCs w:val="24"/>
                  <w:lang w:eastAsia="ru-RU"/>
                </w:rPr>
                <w:t>кодами 3.7.1</w:t>
              </w:r>
            </w:hyperlink>
            <w:r>
              <w:rPr>
                <w:rFonts w:ascii="Times New Roman" w:eastAsia="Times New Roman" w:hAnsi="Times New Roman" w:cs="Times New Roman"/>
                <w:sz w:val="24"/>
                <w:szCs w:val="24"/>
                <w:lang w:eastAsia="ru-RU"/>
              </w:rPr>
              <w:t xml:space="preserve"> - </w:t>
            </w:r>
            <w:hyperlink w:anchor="Par286" w:tooltip="3.7.2" w:history="1">
              <w:r>
                <w:rPr>
                  <w:rFonts w:ascii="Times New Roman" w:eastAsia="Times New Roman" w:hAnsi="Times New Roman" w:cs="Times New Roman"/>
                  <w:sz w:val="24"/>
                  <w:szCs w:val="24"/>
                  <w:lang w:eastAsia="ru-RU"/>
                </w:rPr>
                <w:t>3.7.2</w:t>
              </w:r>
            </w:hyperlink>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Целлюлозно-бумажная промышленность</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trPr>
          <w:gridAfter w:val="1"/>
          <w:wAfter w:w="1656" w:type="dxa"/>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gridAfter w:val="1"/>
          <w:wAfter w:w="1656" w:type="dxa"/>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Служебные гаражи</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w:t>
            </w:r>
            <w:r>
              <w:rPr>
                <w:rFonts w:ascii="Times New Roman" w:eastAsia="Times New Roman" w:hAnsi="Times New Roman" w:cs="Times New Roman"/>
                <w:sz w:val="24"/>
                <w:szCs w:val="24"/>
                <w:lang w:eastAsia="ru-RU"/>
              </w:rPr>
              <w:lastRenderedPageBreak/>
              <w:t xml:space="preserve">разрешенного использования с </w:t>
            </w:r>
            <w:hyperlink w:anchor="Par190" w:tooltip="3.0" w:history="1">
              <w:r>
                <w:rPr>
                  <w:rFonts w:ascii="Times New Roman" w:eastAsia="Times New Roman" w:hAnsi="Times New Roman" w:cs="Times New Roman"/>
                  <w:sz w:val="24"/>
                  <w:szCs w:val="24"/>
                  <w:lang w:eastAsia="ru-RU"/>
                </w:rPr>
                <w:t>кодами 3.0</w:t>
              </w:r>
            </w:hyperlink>
            <w:r>
              <w:rPr>
                <w:rFonts w:ascii="Times New Roman" w:eastAsia="Times New Roman" w:hAnsi="Times New Roman" w:cs="Times New Roman"/>
                <w:sz w:val="24"/>
                <w:szCs w:val="24"/>
                <w:lang w:eastAsia="ru-RU"/>
              </w:rPr>
              <w:t xml:space="preserve">, </w:t>
            </w:r>
            <w:hyperlink w:anchor="Par333" w:tooltip="4.0" w:history="1">
              <w:r>
                <w:rPr>
                  <w:rFonts w:ascii="Times New Roman" w:eastAsia="Times New Roman" w:hAnsi="Times New Roman" w:cs="Times New Roman"/>
                  <w:sz w:val="24"/>
                  <w:szCs w:val="24"/>
                  <w:lang w:eastAsia="ru-RU"/>
                </w:rPr>
                <w:t>4.0</w:t>
              </w:r>
            </w:hyperlink>
            <w:r>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r>
    </w:tbl>
    <w:p>
      <w:pPr>
        <w:spacing w:after="0" w:line="240" w:lineRule="auto"/>
        <w:rPr>
          <w:rFonts w:ascii="Times New Roman" w:eastAsia="Times New Roman" w:hAnsi="Times New Roman" w:cs="Times New Roman"/>
          <w:sz w:val="24"/>
          <w:szCs w:val="24"/>
          <w:lang w:eastAsia="ru-RU"/>
        </w:rPr>
      </w:pP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t xml:space="preserve">Таблица 34.2.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27"/>
        <w:gridCol w:w="1435"/>
        <w:gridCol w:w="1435"/>
        <w:gridCol w:w="2095"/>
        <w:gridCol w:w="1435"/>
        <w:gridCol w:w="1435"/>
        <w:gridCol w:w="1458"/>
        <w:gridCol w:w="1435"/>
        <w:gridCol w:w="1461"/>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27"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9"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27"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5"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1"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959"/>
        </w:trPr>
        <w:tc>
          <w:tcPr>
            <w:tcW w:w="710" w:type="dxa"/>
            <w:vMerge/>
          </w:tcPr>
          <w:p>
            <w:pPr>
              <w:rPr>
                <w:rFonts w:ascii="Times New Roman" w:eastAsia="Times New Roman" w:hAnsi="Times New Roman" w:cs="Times New Roman"/>
                <w:sz w:val="24"/>
                <w:szCs w:val="24"/>
                <w:lang w:eastAsia="ru-RU"/>
              </w:rPr>
            </w:pPr>
          </w:p>
        </w:tc>
        <w:tc>
          <w:tcPr>
            <w:tcW w:w="2127"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5"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1"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3.1.1</w:t>
            </w:r>
          </w:p>
        </w:tc>
        <w:tc>
          <w:tcPr>
            <w:tcW w:w="2127" w:type="dxa"/>
            <w:vAlign w:val="center"/>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Предоставление коммунальных услуг</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3.1.2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Административные здания организаций, обеспечивающих предоставление коммунальных услуг</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3.2.1</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Дома социального обслуживания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Оказание социальной помощи населению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3.2.3</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Оказание услуг связи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3.4.1</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Амбулаторно-поликлиническое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3.6.1</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Объекты культурно-досуговой деятельности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Проведение научных исследований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w:t>
            </w:r>
            <w:r>
              <w:rPr>
                <w:rFonts w:ascii="Times New Roman" w:eastAsia="Times New Roman" w:hAnsi="Times New Roman" w:cs="Times New Roman"/>
                <w:sz w:val="20"/>
                <w:szCs w:val="20"/>
                <w:lang w:eastAsia="ru-RU"/>
              </w:rPr>
              <w:lastRenderedPageBreak/>
              <w:t>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w:t>
            </w:r>
            <w:r>
              <w:rPr>
                <w:rFonts w:ascii="Times New Roman" w:eastAsia="Times New Roman" w:hAnsi="Times New Roman" w:cs="Times New Roman"/>
                <w:sz w:val="20"/>
                <w:szCs w:val="20"/>
                <w:lang w:eastAsia="ru-RU"/>
              </w:rPr>
              <w:lastRenderedPageBreak/>
              <w:t>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4.1</w:t>
            </w:r>
          </w:p>
        </w:tc>
        <w:tc>
          <w:tcPr>
            <w:tcW w:w="2127"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Объекты торговли (торговые центры, торгово-развлекательные центры (комплексы)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4.3</w:t>
            </w:r>
          </w:p>
        </w:tc>
        <w:tc>
          <w:tcPr>
            <w:tcW w:w="2127"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Рынки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127"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127"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Банковская и страховая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4.7</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Гостиничное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границ </w:t>
            </w:r>
            <w:r>
              <w:rPr>
                <w:rFonts w:ascii="Times New Roman" w:eastAsia="Times New Roman" w:hAnsi="Times New Roman" w:cs="Times New Roman"/>
                <w:sz w:val="20"/>
                <w:szCs w:val="20"/>
                <w:lang w:eastAsia="ru-RU"/>
              </w:rPr>
              <w:lastRenderedPageBreak/>
              <w:t>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земельного </w:t>
            </w:r>
            <w:r>
              <w:rPr>
                <w:rFonts w:ascii="Times New Roman" w:eastAsia="Times New Roman" w:hAnsi="Times New Roman" w:cs="Times New Roman"/>
                <w:sz w:val="20"/>
                <w:szCs w:val="20"/>
                <w:lang w:eastAsia="ru-RU"/>
              </w:rPr>
              <w:lastRenderedPageBreak/>
              <w:t>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4.8.1</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Развлекательные мероприятия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4.10</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Выставочно-ярмарочная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127" w:type="dxa"/>
          </w:tcPr>
          <w:p>
            <w:pPr>
              <w:widowControl w:val="0"/>
              <w:tabs>
                <w:tab w:val="left" w:pos="317"/>
              </w:tabs>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внутреннего правопорядка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27"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2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3.4.2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Стационарное медицинское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3.5.1</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Дошкольное, начальное и среднее общее образование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дошкольной образовательной организации, общеобразовательной организации до </w:t>
            </w:r>
            <w:r>
              <w:rPr>
                <w:rFonts w:ascii="Times New Roman" w:eastAsia="Times New Roman" w:hAnsi="Times New Roman" w:cs="Times New Roman"/>
                <w:sz w:val="20"/>
                <w:szCs w:val="20"/>
                <w:lang w:eastAsia="ru-RU"/>
              </w:rPr>
              <w:lastRenderedPageBreak/>
              <w:t>красной линии  – 25 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 – для объектов дошкольного образования, 4 – для иных объектов</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3.5.2</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Среднее и высшее профессиональное образование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 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Религиозное использование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80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6.11</w:t>
            </w:r>
          </w:p>
        </w:tc>
        <w:tc>
          <w:tcPr>
            <w:tcW w:w="212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Целлюлозно-бумажная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127"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Служебные гаражи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75</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14 м.</w:t>
            </w:r>
          </w:p>
        </w:tc>
      </w:tr>
    </w:tbl>
    <w:p>
      <w:pPr>
        <w:spacing w:after="0" w:line="240" w:lineRule="auto"/>
        <w:rPr>
          <w:rFonts w:ascii="Times New Roman" w:eastAsia="Times New Roman" w:hAnsi="Times New Roman" w:cs="Times New Roman"/>
          <w:sz w:val="24"/>
          <w:szCs w:val="24"/>
          <w:lang w:eastAsia="ru-RU"/>
        </w:rPr>
      </w:pPr>
    </w:p>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10" w:name="_Toc80780353"/>
      <w:bookmarkStart w:id="211" w:name="_Toc99015372"/>
      <w:r>
        <w:rPr>
          <w:rFonts w:eastAsia="Times New Roman"/>
          <w:lang w:eastAsia="ru-RU"/>
        </w:rPr>
        <w:lastRenderedPageBreak/>
        <w:t>Статья 29. ОД-2. Зона размещения объектов социального и коммунально-бытового назначения</w:t>
      </w:r>
      <w:bookmarkEnd w:id="210"/>
      <w:bookmarkEnd w:id="211"/>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 xml:space="preserve">Зона предназначена для </w:t>
      </w:r>
      <w:r>
        <w:rPr>
          <w:rFonts w:ascii="Times New Roman" w:eastAsia="Times New Roman" w:hAnsi="Times New Roman" w:cs="Times New Roman"/>
          <w:sz w:val="26"/>
          <w:szCs w:val="26"/>
          <w:lang w:eastAsia="ru-RU"/>
        </w:rPr>
        <w:t xml:space="preserve">строительства, содержания и использования зданий в целях обеспечения удовлетворения бытовых, социальных и духовных потребностей человека. </w:t>
      </w:r>
      <w:r>
        <w:rPr>
          <w:rFonts w:ascii="Times New Roman" w:eastAsia="Times New Roman" w:hAnsi="Times New Roman" w:cs="Times New Roman"/>
          <w:iCs/>
          <w:sz w:val="26"/>
          <w:szCs w:val="26"/>
          <w:lang w:eastAsia="ru-RU"/>
        </w:rPr>
        <w:t>В данной территориальной зоне разрешено размещение объектов инженерного обеспечения, если площадь земельных участков под названными объектами, не превышает 20% от площади территории зоны.</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35.1. </w:t>
      </w:r>
      <w:r>
        <w:rPr>
          <w:rFonts w:ascii="Times New Roman" w:eastAsia="Times New Roman" w:hAnsi="Times New Roman" w:cs="Times New Roman"/>
          <w:b/>
          <w:iCs/>
          <w:sz w:val="28"/>
          <w:szCs w:val="28"/>
          <w:lang w:eastAsia="ru-RU"/>
        </w:rPr>
        <w:t>Виды разрешенного использования зоны размещения объектов социального и коммунально-бытового назначения (ОД-2)</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ОД-2. Зона размещения объектов социального и коммунально-бытового назначения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Дома социального обслуживания</w:t>
            </w:r>
          </w:p>
        </w:tc>
        <w:tc>
          <w:tcPr>
            <w:tcW w:w="10665" w:type="dxa"/>
            <w:shd w:val="clear" w:color="auto" w:fill="FFFFFF"/>
            <w:vAlign w:val="center"/>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домов престарелых, домов ребенка, детских домов, пунктов ночлега для бездомных граждан;</w:t>
            </w:r>
          </w:p>
          <w:p>
            <w:pPr>
              <w:widowControl w:val="0"/>
              <w:tabs>
                <w:tab w:val="left" w:pos="0"/>
                <w:tab w:val="num" w:pos="34"/>
              </w:tabs>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для временного размещения вынужденных переселенцев, лиц, признанных беженцами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Общежития</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Pr>
                  <w:rFonts w:ascii="Times New Roman" w:eastAsia="Times New Roman" w:hAnsi="Times New Roman" w:cs="Times New Roman"/>
                  <w:sz w:val="24"/>
                  <w:szCs w:val="24"/>
                  <w:lang w:eastAsia="ru-RU"/>
                </w:rPr>
                <w:t>кодом 4.7</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Оказание социальной помощи населению</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некоммерческих фондов, благотворительных организаций, клубов по интересам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Здравоохранение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w:t>
            </w:r>
            <w:r>
              <w:rPr>
                <w:rFonts w:ascii="Times New Roman" w:eastAsia="Times New Roman" w:hAnsi="Times New Roman" w:cs="Times New Roman"/>
                <w:sz w:val="24"/>
                <w:szCs w:val="24"/>
                <w:lang w:eastAsia="ru-RU"/>
              </w:rPr>
              <w:lastRenderedPageBreak/>
              <w:t xml:space="preserve">содержание видов разрешенного использования с </w:t>
            </w:r>
            <w:hyperlink w:anchor="Par234" w:tooltip="Амбулаторно-поликлиническое обслуживание" w:history="1">
              <w:r>
                <w:rPr>
                  <w:rFonts w:ascii="Times New Roman" w:eastAsia="Times New Roman" w:hAnsi="Times New Roman" w:cs="Times New Roman"/>
                  <w:sz w:val="24"/>
                  <w:szCs w:val="24"/>
                  <w:lang w:eastAsia="ru-RU"/>
                </w:rPr>
                <w:t>кодами 3.4.1</w:t>
              </w:r>
            </w:hyperlink>
            <w:r>
              <w:rPr>
                <w:rFonts w:ascii="Times New Roman" w:eastAsia="Times New Roman" w:hAnsi="Times New Roman" w:cs="Times New Roman"/>
                <w:sz w:val="24"/>
                <w:szCs w:val="24"/>
                <w:lang w:eastAsia="ru-RU"/>
              </w:rPr>
              <w:t xml:space="preserve"> - </w:t>
            </w:r>
            <w:hyperlink w:anchor="Par238" w:tooltip="Стационарное медицинское обслуживание" w:history="1">
              <w:r>
                <w:rPr>
                  <w:rFonts w:ascii="Times New Roman" w:eastAsia="Times New Roman" w:hAnsi="Times New Roman" w:cs="Times New Roman"/>
                  <w:sz w:val="24"/>
                  <w:szCs w:val="24"/>
                  <w:lang w:eastAsia="ru-RU"/>
                </w:rPr>
                <w:t>3.4.2</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3.4.3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Медицинские организации особого назначения</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Образование и просвещение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Pr>
                  <w:rFonts w:ascii="Times New Roman" w:eastAsia="Times New Roman" w:hAnsi="Times New Roman" w:cs="Times New Roman"/>
                  <w:sz w:val="24"/>
                  <w:szCs w:val="24"/>
                  <w:lang w:eastAsia="ru-RU"/>
                </w:rPr>
                <w:t>кодами 3.5.1</w:t>
              </w:r>
            </w:hyperlink>
            <w:r>
              <w:rPr>
                <w:rFonts w:ascii="Times New Roman" w:eastAsia="Times New Roman" w:hAnsi="Times New Roman" w:cs="Times New Roman"/>
                <w:sz w:val="24"/>
                <w:szCs w:val="24"/>
                <w:lang w:eastAsia="ru-RU"/>
              </w:rPr>
              <w:t xml:space="preserve"> - </w:t>
            </w:r>
            <w:hyperlink w:anchor="Par256" w:tooltip="Среднее и высшее профессиональное образование" w:history="1">
              <w:r>
                <w:rPr>
                  <w:rFonts w:ascii="Times New Roman" w:eastAsia="Times New Roman" w:hAnsi="Times New Roman" w:cs="Times New Roman"/>
                  <w:sz w:val="24"/>
                  <w:szCs w:val="24"/>
                  <w:lang w:eastAsia="ru-RU"/>
                </w:rPr>
                <w:t>3.5.2</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3.6.1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культурно-досуговой деятельности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Религиозное использование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Pr>
                  <w:rFonts w:ascii="Times New Roman" w:eastAsia="Times New Roman" w:hAnsi="Times New Roman" w:cs="Times New Roman"/>
                  <w:sz w:val="24"/>
                  <w:szCs w:val="24"/>
                  <w:lang w:eastAsia="ru-RU"/>
                </w:rPr>
                <w:t>кодами 3.7.1</w:t>
              </w:r>
            </w:hyperlink>
            <w:r>
              <w:rPr>
                <w:rFonts w:ascii="Times New Roman" w:eastAsia="Times New Roman" w:hAnsi="Times New Roman" w:cs="Times New Roman"/>
                <w:sz w:val="24"/>
                <w:szCs w:val="24"/>
                <w:lang w:eastAsia="ru-RU"/>
              </w:rPr>
              <w:t xml:space="preserve"> - </w:t>
            </w:r>
            <w:hyperlink w:anchor="Par286" w:tooltip="3.7.2" w:history="1">
              <w:r>
                <w:rPr>
                  <w:rFonts w:ascii="Times New Roman" w:eastAsia="Times New Roman" w:hAnsi="Times New Roman" w:cs="Times New Roman"/>
                  <w:sz w:val="24"/>
                  <w:szCs w:val="24"/>
                  <w:lang w:eastAsia="ru-RU"/>
                </w:rPr>
                <w:t>3.7.2</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Проведение научных исследований</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Проведение научных испытаний</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устройства мест общественного </w:t>
            </w:r>
            <w:r>
              <w:rPr>
                <w:rFonts w:ascii="Times New Roman" w:eastAsia="Times New Roman" w:hAnsi="Times New Roman" w:cs="Times New Roman"/>
                <w:sz w:val="24"/>
                <w:szCs w:val="24"/>
                <w:lang w:eastAsia="ru-RU"/>
              </w:rPr>
              <w:lastRenderedPageBreak/>
              <w:t>питания (рестораны, кафе, столовые, закусочные, бары)</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5.1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Спорт</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Pr>
                  <w:rFonts w:ascii="Times New Roman" w:eastAsia="Times New Roman" w:hAnsi="Times New Roman" w:cs="Times New Roman"/>
                  <w:sz w:val="24"/>
                  <w:szCs w:val="24"/>
                  <w:lang w:eastAsia="ru-RU"/>
                </w:rPr>
                <w:t>кодами 5.1.1</w:t>
              </w:r>
            </w:hyperlink>
            <w:r>
              <w:rPr>
                <w:rFonts w:ascii="Times New Roman" w:eastAsia="Times New Roman" w:hAnsi="Times New Roman" w:cs="Times New Roman"/>
                <w:sz w:val="24"/>
                <w:szCs w:val="24"/>
                <w:lang w:eastAsia="ru-RU"/>
              </w:rPr>
              <w:t xml:space="preserve"> - </w:t>
            </w:r>
            <w:hyperlink w:anchor="Par444" w:tooltip="5.1.7" w:history="1">
              <w:r>
                <w:rPr>
                  <w:rFonts w:ascii="Times New Roman" w:eastAsia="Times New Roman" w:hAnsi="Times New Roman" w:cs="Times New Roman"/>
                  <w:sz w:val="24"/>
                  <w:szCs w:val="24"/>
                  <w:lang w:eastAsia="ru-RU"/>
                </w:rPr>
                <w:t>5.1.7</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управление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Служебные гаражи</w:t>
            </w:r>
          </w:p>
        </w:tc>
        <w:tc>
          <w:tcPr>
            <w:tcW w:w="10665" w:type="dxa"/>
            <w:shd w:val="clear" w:color="auto" w:fill="FFFFFF"/>
          </w:tcPr>
          <w:p>
            <w:pPr>
              <w:widowControl w:val="0"/>
              <w:autoSpaceDE w:val="0"/>
              <w:autoSpaceDN w:val="0"/>
              <w:adjustRightInd w:val="0"/>
              <w:spacing w:after="0" w:line="240" w:lineRule="auto"/>
              <w:ind w:firstLine="31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Pr>
                  <w:rFonts w:ascii="Times New Roman" w:eastAsia="Times New Roman" w:hAnsi="Times New Roman" w:cs="Times New Roman"/>
                  <w:sz w:val="24"/>
                  <w:szCs w:val="24"/>
                  <w:lang w:eastAsia="ru-RU"/>
                </w:rPr>
                <w:t>кодами 3.0</w:t>
              </w:r>
            </w:hyperlink>
            <w:r>
              <w:rPr>
                <w:rFonts w:ascii="Times New Roman" w:eastAsia="Times New Roman" w:hAnsi="Times New Roman" w:cs="Times New Roman"/>
                <w:sz w:val="24"/>
                <w:szCs w:val="24"/>
                <w:lang w:eastAsia="ru-RU"/>
              </w:rPr>
              <w:t xml:space="preserve">, </w:t>
            </w:r>
            <w:hyperlink w:anchor="Par333" w:tooltip="4.0" w:history="1">
              <w:r>
                <w:rPr>
                  <w:rFonts w:ascii="Times New Roman" w:eastAsia="Times New Roman" w:hAnsi="Times New Roman" w:cs="Times New Roman"/>
                  <w:sz w:val="24"/>
                  <w:szCs w:val="24"/>
                  <w:lang w:eastAsia="ru-RU"/>
                </w:rPr>
                <w:t>4.0</w:t>
              </w:r>
            </w:hyperlink>
            <w:r>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t xml:space="preserve">Таблица 35.2.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26"/>
        <w:gridCol w:w="1435"/>
        <w:gridCol w:w="1435"/>
        <w:gridCol w:w="2095"/>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26"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 ВРИ</w:t>
            </w:r>
          </w:p>
        </w:tc>
        <w:tc>
          <w:tcPr>
            <w:tcW w:w="12190"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26"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Предельные (минимальные и (или) максимальные) размеры </w:t>
            </w:r>
            <w:r>
              <w:rPr>
                <w:rFonts w:ascii="Times New Roman" w:eastAsia="Times New Roman" w:hAnsi="Times New Roman" w:cs="Times New Roman"/>
                <w:sz w:val="20"/>
                <w:szCs w:val="20"/>
                <w:lang w:eastAsia="ru-RU"/>
              </w:rPr>
              <w:lastRenderedPageBreak/>
              <w:t>земельных участков, в том числе их площадь</w:t>
            </w:r>
          </w:p>
        </w:tc>
        <w:tc>
          <w:tcPr>
            <w:tcW w:w="2095"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xml:space="preserve">Минимальные отступы от границ </w:t>
            </w:r>
            <w:r>
              <w:rPr>
                <w:rFonts w:ascii="Times New Roman" w:eastAsia="Times New Roman" w:hAnsi="Times New Roman" w:cs="Times New Roman"/>
                <w:sz w:val="20"/>
                <w:szCs w:val="20"/>
                <w:lang w:eastAsia="ru-RU"/>
              </w:rPr>
              <w:lastRenderedPageBreak/>
              <w:t>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Иные показатели</w:t>
            </w:r>
          </w:p>
        </w:tc>
      </w:tr>
      <w:tr>
        <w:trPr>
          <w:trHeight w:val="1916"/>
        </w:trPr>
        <w:tc>
          <w:tcPr>
            <w:tcW w:w="710" w:type="dxa"/>
            <w:vMerge/>
          </w:tcPr>
          <w:p>
            <w:pPr>
              <w:rPr>
                <w:rFonts w:ascii="Times New Roman" w:eastAsia="Times New Roman" w:hAnsi="Times New Roman" w:cs="Times New Roman"/>
                <w:sz w:val="24"/>
                <w:szCs w:val="24"/>
                <w:lang w:eastAsia="ru-RU"/>
              </w:rPr>
            </w:pPr>
          </w:p>
        </w:tc>
        <w:tc>
          <w:tcPr>
            <w:tcW w:w="2126"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5"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3.2.1</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Дома социального обслуживания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3.2.2</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Оказание социальной помощи населению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3.2.4</w:t>
            </w:r>
          </w:p>
        </w:tc>
        <w:tc>
          <w:tcPr>
            <w:tcW w:w="2126" w:type="dxa"/>
            <w:vAlign w:val="center"/>
          </w:tcPr>
          <w:p>
            <w:pPr>
              <w:widowControl w:val="0"/>
              <w:tabs>
                <w:tab w:val="left" w:pos="540"/>
                <w:tab w:val="num" w:pos="720"/>
                <w:tab w:val="left" w:pos="900"/>
                <w:tab w:val="left" w:pos="1080"/>
                <w:tab w:val="left" w:pos="1260"/>
              </w:tabs>
              <w:rPr>
                <w:rFonts w:ascii="Times New Roman" w:eastAsia="Times New Roman" w:hAnsi="Times New Roman" w:cs="Times New Roman"/>
                <w:b/>
                <w:iCs/>
                <w:sz w:val="20"/>
                <w:szCs w:val="20"/>
                <w:lang w:eastAsia="ru-RU"/>
              </w:rPr>
            </w:pPr>
            <w:r>
              <w:rPr>
                <w:rFonts w:ascii="Times New Roman" w:eastAsia="Times New Roman" w:hAnsi="Times New Roman" w:cs="Times New Roman"/>
                <w:sz w:val="20"/>
                <w:szCs w:val="20"/>
                <w:lang w:eastAsia="ru-RU"/>
              </w:rPr>
              <w:t>Общежития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Здравоохранение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3.4.3</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Медицинские организации особого назначения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3.5</w:t>
            </w:r>
          </w:p>
        </w:tc>
        <w:tc>
          <w:tcPr>
            <w:tcW w:w="212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Образование и просвещение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дошкольной образовательной организации, общеобразовательной организации до красной линии – 25 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3.6.1</w:t>
            </w:r>
          </w:p>
        </w:tc>
        <w:tc>
          <w:tcPr>
            <w:tcW w:w="212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Объекты культурно-досуговой деятельности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Религиозное использование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Проведение научных исследований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3.9.3</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Проведение научных испытаний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126"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границ </w:t>
            </w:r>
            <w:r>
              <w:rPr>
                <w:rFonts w:ascii="Times New Roman" w:eastAsia="Times New Roman" w:hAnsi="Times New Roman" w:cs="Times New Roman"/>
                <w:sz w:val="20"/>
                <w:szCs w:val="20"/>
                <w:lang w:eastAsia="ru-RU"/>
              </w:rPr>
              <w:lastRenderedPageBreak/>
              <w:t>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земельного </w:t>
            </w:r>
            <w:r>
              <w:rPr>
                <w:rFonts w:ascii="Times New Roman" w:eastAsia="Times New Roman" w:hAnsi="Times New Roman" w:cs="Times New Roman"/>
                <w:sz w:val="20"/>
                <w:szCs w:val="20"/>
                <w:lang w:eastAsia="ru-RU"/>
              </w:rPr>
              <w:lastRenderedPageBreak/>
              <w:t>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5.1</w:t>
            </w:r>
          </w:p>
        </w:tc>
        <w:tc>
          <w:tcPr>
            <w:tcW w:w="2126"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26"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2.7.1</w:t>
            </w:r>
          </w:p>
        </w:tc>
        <w:tc>
          <w:tcPr>
            <w:tcW w:w="212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12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3.8.1</w:t>
            </w:r>
          </w:p>
        </w:tc>
        <w:tc>
          <w:tcPr>
            <w:tcW w:w="2126"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126"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26" w:type="dxa"/>
          </w:tcPr>
          <w:p>
            <w:pPr>
              <w:widowControl w:val="0"/>
              <w:autoSpaceDE w:val="0"/>
              <w:autoSpaceDN w:val="0"/>
              <w:adjustRightInd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126" w:type="dxa"/>
          </w:tcPr>
          <w:p>
            <w:pPr>
              <w:widowControl w:val="0"/>
              <w:autoSpaceDE w:val="0"/>
              <w:autoSpaceDN w:val="0"/>
              <w:adjustRightInd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Служебные гаражи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75</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14 м.</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8.3</w:t>
            </w:r>
          </w:p>
        </w:tc>
        <w:tc>
          <w:tcPr>
            <w:tcW w:w="2126" w:type="dxa"/>
          </w:tcPr>
          <w:p>
            <w:pPr>
              <w:widowControl w:val="0"/>
              <w:autoSpaceDE w:val="0"/>
              <w:autoSpaceDN w:val="0"/>
              <w:adjustRightInd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12" w:name="_Toc80780354"/>
      <w:bookmarkStart w:id="213" w:name="_Toc99015373"/>
      <w:r>
        <w:rPr>
          <w:rFonts w:eastAsia="Times New Roman"/>
          <w:lang w:eastAsia="ru-RU"/>
        </w:rPr>
        <w:t>Статья 30. П.  Зона производственно-коммунальных объектов</w:t>
      </w:r>
      <w:bookmarkEnd w:id="212"/>
      <w:bookmarkEnd w:id="213"/>
    </w:p>
    <w:p>
      <w:pPr>
        <w:autoSpaceDE w:val="0"/>
        <w:autoSpaceDN w:val="0"/>
        <w:adjustRightInd w:val="0"/>
        <w:spacing w:after="0" w:line="24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 xml:space="preserve">Зона предназначена для </w:t>
      </w:r>
      <w:r>
        <w:rPr>
          <w:rFonts w:ascii="Times New Roman" w:eastAsia="Times New Roman" w:hAnsi="Times New Roman" w:cs="Times New Roman"/>
          <w:sz w:val="26"/>
          <w:szCs w:val="26"/>
          <w:lang w:eastAsia="ru-RU"/>
        </w:rPr>
        <w:t xml:space="preserve">размещения промышленных, коммунальных, складских объектов с санитарно-защитными зонами согласно СанПин, а также обеспечивающих их функционирование объектов, определяемых технологическими требованиями, </w:t>
      </w:r>
      <w:r>
        <w:rPr>
          <w:rFonts w:ascii="Times New Roman" w:eastAsia="Times New Roman" w:hAnsi="Times New Roman" w:cs="Arial"/>
          <w:sz w:val="26"/>
          <w:szCs w:val="26"/>
          <w:lang w:eastAsia="ru-RU"/>
        </w:rPr>
        <w:t>размещение объектов капитального строительства в целях добычи недр, их переработки, изготовления вещей промышленным способом.</w:t>
      </w:r>
    </w:p>
    <w:p>
      <w:pPr>
        <w:autoSpaceDE w:val="0"/>
        <w:autoSpaceDN w:val="0"/>
        <w:adjustRightInd w:val="0"/>
        <w:spacing w:after="0" w:line="24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Сочетание различных видов разрешенного использования в единой зоне возможно при соблюдении нормативных санитарных требований.</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36.1. </w:t>
      </w:r>
      <w:r>
        <w:rPr>
          <w:rFonts w:ascii="Times New Roman" w:eastAsia="Times New Roman" w:hAnsi="Times New Roman" w:cs="Times New Roman"/>
          <w:b/>
          <w:iCs/>
          <w:sz w:val="28"/>
          <w:szCs w:val="28"/>
          <w:lang w:eastAsia="ru-RU"/>
        </w:rPr>
        <w:t>Виды разрешенного использования зоны производственно-коммунальных объектов (П)</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П. Зона производственно-коммунальных объектов</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lastRenderedPageBreak/>
              <w:t>3.1</w:t>
            </w:r>
          </w:p>
        </w:tc>
        <w:tc>
          <w:tcPr>
            <w:tcW w:w="2835" w:type="dxa"/>
            <w:shd w:val="clear" w:color="auto" w:fill="FFFFFF"/>
          </w:tcPr>
          <w:p>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1224"/>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3.4.1</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Амбулаторно-поликлиническое обслуживание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Среднее и высшее профессиональное образование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3.8.1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управление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Проведение научных исследований</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w:t>
            </w:r>
            <w:r>
              <w:rPr>
                <w:rFonts w:ascii="Times New Roman" w:eastAsia="Times New Roman" w:hAnsi="Times New Roman" w:cs="Times New Roman"/>
                <w:sz w:val="24"/>
                <w:szCs w:val="24"/>
                <w:lang w:eastAsia="ru-RU"/>
              </w:rPr>
              <w:lastRenderedPageBreak/>
              <w:t>инновационные центры, государственные академии наук, опытно-конструкторские центры, в том числе отраслевые)</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3.9.3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Проведение научных испытаний</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Ветеринарное обслуживание</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Pr>
                  <w:rFonts w:ascii="Times New Roman" w:eastAsia="Times New Roman" w:hAnsi="Times New Roman" w:cs="Times New Roman"/>
                  <w:sz w:val="24"/>
                  <w:szCs w:val="24"/>
                  <w:lang w:eastAsia="ru-RU"/>
                </w:rPr>
                <w:t>кодами 3.10.1</w:t>
              </w:r>
            </w:hyperlink>
            <w:r>
              <w:rPr>
                <w:rFonts w:ascii="Times New Roman" w:eastAsia="Times New Roman" w:hAnsi="Times New Roman" w:cs="Times New Roman"/>
                <w:sz w:val="24"/>
                <w:szCs w:val="24"/>
                <w:lang w:eastAsia="ru-RU"/>
              </w:rPr>
              <w:t xml:space="preserve"> - </w:t>
            </w:r>
            <w:hyperlink w:anchor="Par324" w:tooltip="Приюты для животных" w:history="1">
              <w:r>
                <w:rPr>
                  <w:rFonts w:ascii="Times New Roman" w:eastAsia="Times New Roman" w:hAnsi="Times New Roman" w:cs="Times New Roman"/>
                  <w:sz w:val="24"/>
                  <w:szCs w:val="24"/>
                  <w:lang w:eastAsia="ru-RU"/>
                </w:rPr>
                <w:t>3.10.2</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торговли (торговые центры, торгово-развлекательные центры (комплексы)</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4.9</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Служебные гаражи</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Pr>
                  <w:rFonts w:ascii="Times New Roman" w:eastAsia="Times New Roman" w:hAnsi="Times New Roman" w:cs="Times New Roman"/>
                  <w:sz w:val="24"/>
                  <w:szCs w:val="24"/>
                  <w:lang w:eastAsia="ru-RU"/>
                </w:rPr>
                <w:t>кодами 3.0</w:t>
              </w:r>
            </w:hyperlink>
            <w:r>
              <w:rPr>
                <w:rFonts w:ascii="Times New Roman" w:eastAsia="Times New Roman" w:hAnsi="Times New Roman" w:cs="Times New Roman"/>
                <w:sz w:val="24"/>
                <w:szCs w:val="24"/>
                <w:lang w:eastAsia="ru-RU"/>
              </w:rPr>
              <w:t xml:space="preserve">, </w:t>
            </w:r>
            <w:hyperlink w:anchor="Par333" w:tooltip="4.0" w:history="1">
              <w:r>
                <w:rPr>
                  <w:rFonts w:ascii="Times New Roman" w:eastAsia="Times New Roman" w:hAnsi="Times New Roman" w:cs="Times New Roman"/>
                  <w:sz w:val="24"/>
                  <w:szCs w:val="24"/>
                  <w:lang w:eastAsia="ru-RU"/>
                </w:rPr>
                <w:t>4.0</w:t>
              </w:r>
            </w:hyperlink>
            <w:r>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4.9.1.1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Заправка транспортных средств</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4.9.1.3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Автомобильные мойки</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4.9.1.4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Ремонт автомобилей</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Недропользование</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геологических изысканий;</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добыча полезных ископаемых открытым (карьеры, отвалы) и закрытым (шахты, скважины) способами;</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в том числе подземных, в целях добычи полезных ископаемых;</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сырья к транспортировке и (или) промышленной переработке;</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6.2</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Тяжелая промышленность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6.3</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Легкая промышленность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текстильной, фарфоро-фаянсовой, электронной промышленности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6.4</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Пищевая промышленность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6.5</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Нефтехимическая </w:t>
            </w:r>
            <w:r>
              <w:rPr>
                <w:rFonts w:ascii="Times New Roman" w:eastAsia="Times New Roman" w:hAnsi="Times New Roman" w:cs="Times New Roman"/>
                <w:sz w:val="24"/>
                <w:szCs w:val="24"/>
                <w:lang w:eastAsia="ru-RU"/>
              </w:rPr>
              <w:lastRenderedPageBreak/>
              <w:t>промышленность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Размещение объектов капитального строительства, предназначенных для переработки </w:t>
            </w:r>
            <w:r>
              <w:rPr>
                <w:rFonts w:ascii="Times New Roman" w:eastAsia="Times New Roman" w:hAnsi="Times New Roman" w:cs="Times New Roman"/>
                <w:sz w:val="24"/>
                <w:szCs w:val="24"/>
                <w:lang w:eastAsia="ru-RU"/>
              </w:rPr>
              <w:lastRenderedPageBreak/>
              <w:t>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6.6</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Строительная промышленность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6.7</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Энергетика</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92" w:tooltip="Коммунальное обслуживание" w:history="1">
              <w:r>
                <w:rPr>
                  <w:rFonts w:ascii="Times New Roman" w:eastAsia="Times New Roman" w:hAnsi="Times New Roman" w:cs="Times New Roman"/>
                  <w:sz w:val="24"/>
                  <w:szCs w:val="24"/>
                  <w:lang w:eastAsia="ru-RU"/>
                </w:rPr>
                <w:t>кодом 3.1</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6.8</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Связь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ar198" w:tooltip="3.1.1" w:history="1">
              <w:r>
                <w:rPr>
                  <w:rFonts w:ascii="Times New Roman" w:eastAsia="Times New Roman" w:hAnsi="Times New Roman" w:cs="Times New Roman"/>
                  <w:sz w:val="24"/>
                  <w:szCs w:val="24"/>
                  <w:lang w:eastAsia="ru-RU"/>
                </w:rPr>
                <w:t>кодами 3.1.1</w:t>
              </w:r>
            </w:hyperlink>
            <w:r>
              <w:rPr>
                <w:rFonts w:ascii="Times New Roman" w:eastAsia="Times New Roman" w:hAnsi="Times New Roman" w:cs="Times New Roman"/>
                <w:sz w:val="24"/>
                <w:szCs w:val="24"/>
                <w:lang w:eastAsia="ru-RU"/>
              </w:rPr>
              <w:t xml:space="preserve">, </w:t>
            </w:r>
            <w:hyperlink w:anchor="Par220" w:tooltip="3.2.3" w:history="1">
              <w:r>
                <w:rPr>
                  <w:rFonts w:ascii="Times New Roman" w:eastAsia="Times New Roman" w:hAnsi="Times New Roman" w:cs="Times New Roman"/>
                  <w:sz w:val="24"/>
                  <w:szCs w:val="24"/>
                  <w:lang w:eastAsia="ru-RU"/>
                </w:rPr>
                <w:t>3.2.3</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6.9.1</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Складские площадки</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Временное хранение, распределение и перевалка грузов (за исключением хранения стратегических запасов) на открытом воздухе</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6.12</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Научно-</w:t>
            </w:r>
            <w:r>
              <w:rPr>
                <w:rFonts w:ascii="Times New Roman" w:eastAsia="Times New Roman" w:hAnsi="Times New Roman" w:cs="Times New Roman"/>
                <w:sz w:val="24"/>
                <w:szCs w:val="24"/>
                <w:lang w:eastAsia="ru-RU"/>
              </w:rPr>
              <w:lastRenderedPageBreak/>
              <w:t>производственная деятельность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Размещение технологических, промышленных, агропромышленных парков, бизнес-инкубаторов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12.0.1</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Улично-дорожная сеть</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Pr>
                  <w:rFonts w:ascii="Times New Roman" w:eastAsia="Times New Roman" w:hAnsi="Times New Roman" w:cs="Times New Roman"/>
                  <w:sz w:val="24"/>
                  <w:szCs w:val="24"/>
                  <w:lang w:eastAsia="ru-RU"/>
                </w:rPr>
                <w:t>кодами 2.7.1</w:t>
              </w:r>
            </w:hyperlink>
            <w:r>
              <w:rPr>
                <w:rFonts w:ascii="Times New Roman" w:eastAsia="Times New Roman" w:hAnsi="Times New Roman" w:cs="Times New Roman"/>
                <w:sz w:val="24"/>
                <w:szCs w:val="24"/>
                <w:lang w:eastAsia="ru-RU"/>
              </w:rPr>
              <w:t xml:space="preserve">, </w:t>
            </w:r>
            <w:hyperlink w:anchor="Par382" w:tooltip="4.9" w:history="1">
              <w:r>
                <w:rPr>
                  <w:rFonts w:ascii="Times New Roman" w:eastAsia="Times New Roman" w:hAnsi="Times New Roman" w:cs="Times New Roman"/>
                  <w:sz w:val="24"/>
                  <w:szCs w:val="24"/>
                  <w:lang w:eastAsia="ru-RU"/>
                </w:rPr>
                <w:t>4.9</w:t>
              </w:r>
            </w:hyperlink>
            <w:r>
              <w:rPr>
                <w:rFonts w:ascii="Times New Roman" w:eastAsia="Times New Roman" w:hAnsi="Times New Roman" w:cs="Times New Roman"/>
                <w:sz w:val="24"/>
                <w:szCs w:val="24"/>
                <w:lang w:eastAsia="ru-RU"/>
              </w:rPr>
              <w:t xml:space="preserve">, </w:t>
            </w:r>
            <w:hyperlink w:anchor="Par567" w:tooltip="7.2.3" w:history="1">
              <w:r>
                <w:rPr>
                  <w:rFonts w:ascii="Times New Roman" w:eastAsia="Times New Roman" w:hAnsi="Times New Roman" w:cs="Times New Roman"/>
                  <w:sz w:val="24"/>
                  <w:szCs w:val="24"/>
                  <w:lang w:eastAsia="ru-RU"/>
                </w:rPr>
                <w:t>7.2.3</w:t>
              </w:r>
            </w:hyperlink>
            <w:r>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Сельскохозяйственное использование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1.15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и переработка сельскохозяйственной продукции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Рынки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гаражей и (или) стоянок для автомобилей сотрудников и посетителей рынка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Банковская и страховая деятельность</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устройства мест общественного </w:t>
            </w:r>
            <w:r>
              <w:rPr>
                <w:rFonts w:ascii="Times New Roman" w:eastAsia="Times New Roman" w:hAnsi="Times New Roman" w:cs="Times New Roman"/>
                <w:sz w:val="24"/>
                <w:szCs w:val="24"/>
                <w:lang w:eastAsia="ru-RU"/>
              </w:rPr>
              <w:lastRenderedPageBreak/>
              <w:t>питания (рестораны, кафе, столовые, закусочные, бары)</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4.9.1.2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дорожного отдыха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Выставочно-ярмарочная деятельность</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Воздушный транспорт</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предназначенных для технического обслуживания и ремонта воздушных судов</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обороны и безопасности</w:t>
            </w:r>
          </w:p>
        </w:tc>
        <w:tc>
          <w:tcPr>
            <w:tcW w:w="10665" w:type="dxa"/>
            <w:shd w:val="clear" w:color="auto" w:fill="FFFFFF"/>
          </w:tcPr>
          <w:p>
            <w:pPr>
              <w:widowControl w:val="0"/>
              <w:tabs>
                <w:tab w:val="left" w:pos="317"/>
                <w:tab w:val="num" w:pos="720"/>
                <w:tab w:val="left" w:pos="900"/>
                <w:tab w:val="left" w:pos="1080"/>
                <w:tab w:val="left" w:pos="1260"/>
              </w:tabs>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территории</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36.2.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ayout w:type="fixed"/>
        <w:tblLook w:val="04A0" w:firstRow="1" w:lastRow="0" w:firstColumn="1" w:lastColumn="0" w:noHBand="0" w:noVBand="1"/>
      </w:tblPr>
      <w:tblGrid>
        <w:gridCol w:w="876"/>
        <w:gridCol w:w="2129"/>
        <w:gridCol w:w="1435"/>
        <w:gridCol w:w="1435"/>
        <w:gridCol w:w="79"/>
        <w:gridCol w:w="1985"/>
        <w:gridCol w:w="1417"/>
        <w:gridCol w:w="1418"/>
        <w:gridCol w:w="1356"/>
        <w:gridCol w:w="8"/>
        <w:gridCol w:w="1427"/>
        <w:gridCol w:w="8"/>
        <w:gridCol w:w="1453"/>
      </w:tblGrid>
      <w:tr>
        <w:tc>
          <w:tcPr>
            <w:tcW w:w="876"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29"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021" w:type="dxa"/>
            <w:gridSpan w:val="11"/>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rPr>
          <w:trHeight w:val="703"/>
        </w:trPr>
        <w:tc>
          <w:tcPr>
            <w:tcW w:w="876" w:type="dxa"/>
            <w:vMerge/>
          </w:tcPr>
          <w:p>
            <w:pPr>
              <w:rPr>
                <w:rFonts w:ascii="Times New Roman" w:eastAsia="Times New Roman" w:hAnsi="Times New Roman" w:cs="Times New Roman"/>
                <w:sz w:val="24"/>
                <w:szCs w:val="24"/>
                <w:lang w:eastAsia="ru-RU"/>
              </w:rPr>
            </w:pPr>
          </w:p>
        </w:tc>
        <w:tc>
          <w:tcPr>
            <w:tcW w:w="2129"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64" w:type="dxa"/>
            <w:gridSpan w:val="2"/>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199" w:type="dxa"/>
            <w:gridSpan w:val="4"/>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gridSpan w:val="2"/>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53"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781"/>
        </w:trPr>
        <w:tc>
          <w:tcPr>
            <w:tcW w:w="876" w:type="dxa"/>
            <w:vMerge/>
          </w:tcPr>
          <w:p>
            <w:pPr>
              <w:rPr>
                <w:rFonts w:ascii="Times New Roman" w:eastAsia="Times New Roman" w:hAnsi="Times New Roman" w:cs="Times New Roman"/>
                <w:sz w:val="24"/>
                <w:szCs w:val="24"/>
                <w:lang w:eastAsia="ru-RU"/>
              </w:rPr>
            </w:pPr>
          </w:p>
        </w:tc>
        <w:tc>
          <w:tcPr>
            <w:tcW w:w="2129"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64" w:type="dxa"/>
            <w:gridSpan w:val="2"/>
            <w:vMerge/>
          </w:tcPr>
          <w:p>
            <w:pPr>
              <w:rPr>
                <w:rFonts w:ascii="Times New Roman" w:eastAsia="Times New Roman" w:hAnsi="Times New Roman" w:cs="Times New Roman"/>
                <w:sz w:val="24"/>
                <w:szCs w:val="24"/>
                <w:lang w:eastAsia="ru-RU"/>
              </w:rPr>
            </w:pPr>
          </w:p>
        </w:tc>
        <w:tc>
          <w:tcPr>
            <w:tcW w:w="1417"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18"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364" w:type="dxa"/>
            <w:gridSpan w:val="2"/>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gridSpan w:val="2"/>
            <w:vMerge/>
          </w:tcPr>
          <w:p>
            <w:pPr>
              <w:rPr>
                <w:rFonts w:ascii="Times New Roman" w:eastAsia="Times New Roman" w:hAnsi="Times New Roman" w:cs="Times New Roman"/>
                <w:sz w:val="24"/>
                <w:szCs w:val="24"/>
                <w:lang w:eastAsia="ru-RU"/>
              </w:rPr>
            </w:pPr>
          </w:p>
        </w:tc>
        <w:tc>
          <w:tcPr>
            <w:tcW w:w="1453" w:type="dxa"/>
            <w:vMerge/>
          </w:tcPr>
          <w:p>
            <w:pPr>
              <w:rPr>
                <w:rFonts w:ascii="Times New Roman" w:eastAsia="Times New Roman" w:hAnsi="Times New Roman" w:cs="Times New Roman"/>
                <w:sz w:val="24"/>
                <w:szCs w:val="24"/>
                <w:lang w:eastAsia="ru-RU"/>
              </w:rPr>
            </w:pPr>
          </w:p>
        </w:tc>
      </w:tr>
      <w:tr>
        <w:tc>
          <w:tcPr>
            <w:tcW w:w="15026" w:type="dxa"/>
            <w:gridSpan w:val="13"/>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2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29"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3.4.1</w:t>
            </w:r>
          </w:p>
        </w:tc>
        <w:tc>
          <w:tcPr>
            <w:tcW w:w="212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Амбулаторно-поликлиническое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3.5.2</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Среднее и высшее профессиональное образование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 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3.8.1</w:t>
            </w:r>
          </w:p>
        </w:tc>
        <w:tc>
          <w:tcPr>
            <w:tcW w:w="2129"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3.9.2</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Проведение научных исследований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3.9.3</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Проведение научных испытаний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3.10</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Ветеринарное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51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98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5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129"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Объекты торговли (торговые центры, торгово-развлекательные центры (комплексы)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4.9</w:t>
            </w:r>
          </w:p>
        </w:tc>
        <w:tc>
          <w:tcPr>
            <w:tcW w:w="2129"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Служебные гаражи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75</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14 м.</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4.9.1.1</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Заправка транспортных средств</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45</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4.9.1.3</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Автомобильные мойки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45</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4.9.1.4</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Ремонт автомобилей</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w:t>
            </w:r>
            <w:r>
              <w:rPr>
                <w:rFonts w:ascii="Times New Roman" w:eastAsia="Times New Roman" w:hAnsi="Times New Roman" w:cs="Times New Roman"/>
                <w:sz w:val="20"/>
                <w:szCs w:val="20"/>
                <w:lang w:val="en-US" w:eastAsia="ru-RU"/>
              </w:rPr>
              <w:t>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45</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Недропользование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6.2</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Тяжелая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6.3</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Легкая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6.4</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Пищевая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6.5</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Нефтехимическая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6.6</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Строительная промышленность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6.7</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Энергетика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6.8</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Связь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80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6.9.1</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Складские площадки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6.12</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Научно-производственная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12.0.1</w:t>
            </w:r>
          </w:p>
        </w:tc>
        <w:tc>
          <w:tcPr>
            <w:tcW w:w="2129"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Улично-дорожная сеть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3"/>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1.15</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и переработка сельскохозяйственной продукции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4.3</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Рынки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4.4</w:t>
            </w:r>
          </w:p>
        </w:tc>
        <w:tc>
          <w:tcPr>
            <w:tcW w:w="2129"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4.5</w:t>
            </w:r>
          </w:p>
        </w:tc>
        <w:tc>
          <w:tcPr>
            <w:tcW w:w="2129"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Банковская и страховая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4.6</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4.9.1.2</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дорожного отдыха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w:t>
            </w:r>
            <w:r>
              <w:rPr>
                <w:rFonts w:ascii="Times New Roman" w:eastAsia="Times New Roman" w:hAnsi="Times New Roman" w:cs="Times New Roman"/>
                <w:sz w:val="20"/>
                <w:szCs w:val="20"/>
                <w:lang w:eastAsia="ru-RU"/>
              </w:rPr>
              <w:lastRenderedPageBreak/>
              <w:t>границ земельного участка – 3м.</w:t>
            </w:r>
          </w:p>
        </w:tc>
        <w:tc>
          <w:tcPr>
            <w:tcW w:w="1417"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lastRenderedPageBreak/>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45</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4.10</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Выставочно-ярмарочная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76"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7.4</w:t>
            </w:r>
          </w:p>
        </w:tc>
        <w:tc>
          <w:tcPr>
            <w:tcW w:w="2129"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Воздушный транспорт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3"/>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876"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12.0.2</w:t>
            </w:r>
          </w:p>
        </w:tc>
        <w:tc>
          <w:tcPr>
            <w:tcW w:w="2129"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Благоустройство территории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1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364"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gridSpan w:val="2"/>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14" w:name="_Toc80780355"/>
      <w:bookmarkStart w:id="215" w:name="_Toc99015374"/>
      <w:r>
        <w:rPr>
          <w:rFonts w:eastAsia="Times New Roman"/>
          <w:lang w:eastAsia="ru-RU"/>
        </w:rPr>
        <w:t>Статья 31. И. Зона объектов инженерной инфраструктуры</w:t>
      </w:r>
      <w:bookmarkEnd w:id="214"/>
      <w:bookmarkEnd w:id="215"/>
    </w:p>
    <w:p>
      <w:pPr>
        <w:autoSpaceDE w:val="0"/>
        <w:autoSpaceDN w:val="0"/>
        <w:adjustRightInd w:val="0"/>
        <w:spacing w:before="120"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Зона предназначена для размещения объектов инженерной инфраструктуры. Сочетание различных видов разрешенного использования в единой зоне возможно при соблюдении нормативных санитарных требований.</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37.1. </w:t>
      </w:r>
      <w:r>
        <w:rPr>
          <w:rFonts w:ascii="Times New Roman" w:eastAsia="Times New Roman" w:hAnsi="Times New Roman" w:cs="Times New Roman"/>
          <w:b/>
          <w:iCs/>
          <w:sz w:val="28"/>
          <w:szCs w:val="28"/>
          <w:lang w:eastAsia="ru-RU"/>
        </w:rPr>
        <w:t>Виды разрешенного использования зоны объектов инженерной инфраструктуры (И)</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И. Зона объектов инженерной инфраструктуры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w:t>
            </w:r>
            <w:r>
              <w:rPr>
                <w:rFonts w:ascii="Times New Roman" w:eastAsia="Times New Roman" w:hAnsi="Times New Roman" w:cs="Times New Roman"/>
                <w:sz w:val="24"/>
                <w:szCs w:val="24"/>
                <w:lang w:eastAsia="ru-RU"/>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6.7</w:t>
            </w:r>
          </w:p>
        </w:tc>
        <w:tc>
          <w:tcPr>
            <w:tcW w:w="2835" w:type="dxa"/>
            <w:shd w:val="clear" w:color="auto" w:fill="FFFFFF"/>
            <w:vAlign w:val="center"/>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Энергетика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92" w:tooltip="Коммунальное обслуживание" w:history="1">
              <w:r>
                <w:rPr>
                  <w:rFonts w:ascii="Times New Roman" w:eastAsia="Times New Roman" w:hAnsi="Times New Roman" w:cs="Times New Roman"/>
                  <w:sz w:val="24"/>
                  <w:szCs w:val="24"/>
                  <w:lang w:eastAsia="ru-RU"/>
                </w:rPr>
                <w:t>кодом 3.1</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6.8</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Связь</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ar198" w:tooltip="3.1.1" w:history="1">
              <w:r>
                <w:rPr>
                  <w:rFonts w:ascii="Times New Roman" w:eastAsia="Times New Roman" w:hAnsi="Times New Roman" w:cs="Times New Roman"/>
                  <w:sz w:val="24"/>
                  <w:szCs w:val="24"/>
                  <w:lang w:eastAsia="ru-RU"/>
                </w:rPr>
                <w:t>кодами 3.1.1</w:t>
              </w:r>
            </w:hyperlink>
            <w:r>
              <w:rPr>
                <w:rFonts w:ascii="Times New Roman" w:eastAsia="Times New Roman" w:hAnsi="Times New Roman" w:cs="Times New Roman"/>
                <w:sz w:val="24"/>
                <w:szCs w:val="24"/>
                <w:lang w:eastAsia="ru-RU"/>
              </w:rPr>
              <w:t xml:space="preserve">, </w:t>
            </w:r>
            <w:hyperlink w:anchor="Par220" w:tooltip="3.2.3" w:history="1">
              <w:r>
                <w:rPr>
                  <w:rFonts w:ascii="Times New Roman" w:eastAsia="Times New Roman" w:hAnsi="Times New Roman" w:cs="Times New Roman"/>
                  <w:sz w:val="24"/>
                  <w:szCs w:val="24"/>
                  <w:lang w:eastAsia="ru-RU"/>
                </w:rPr>
                <w:t>3.2.3</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Трубопроводный транспорт</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Общее пользование водными объектами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Специальное пользование водными </w:t>
            </w:r>
            <w:r>
              <w:rPr>
                <w:rFonts w:ascii="Times New Roman" w:eastAsia="Times New Roman" w:hAnsi="Times New Roman" w:cs="Times New Roman"/>
                <w:sz w:val="24"/>
                <w:szCs w:val="24"/>
                <w:lang w:eastAsia="ru-RU"/>
              </w:rPr>
              <w:lastRenderedPageBreak/>
              <w:t>объектами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w:t>
            </w:r>
            <w:r>
              <w:rPr>
                <w:rFonts w:ascii="Times New Roman" w:eastAsia="Times New Roman" w:hAnsi="Times New Roman" w:cs="Times New Roman"/>
                <w:sz w:val="24"/>
                <w:szCs w:val="24"/>
                <w:lang w:eastAsia="ru-RU"/>
              </w:rPr>
              <w:lastRenderedPageBreak/>
              <w:t>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11.3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Гидротехнические сооружения</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Служебные гаражи</w:t>
            </w:r>
          </w:p>
        </w:tc>
        <w:tc>
          <w:tcPr>
            <w:tcW w:w="10665" w:type="dxa"/>
            <w:shd w:val="clear" w:color="auto" w:fill="FFFFFF"/>
          </w:tcPr>
          <w:p>
            <w:pPr>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Pr>
                  <w:rFonts w:ascii="Times New Roman" w:eastAsia="Times New Roman" w:hAnsi="Times New Roman" w:cs="Times New Roman"/>
                  <w:sz w:val="24"/>
                  <w:szCs w:val="24"/>
                  <w:lang w:eastAsia="ru-RU"/>
                </w:rPr>
                <w:t>кодами 3.0</w:t>
              </w:r>
            </w:hyperlink>
            <w:r>
              <w:rPr>
                <w:rFonts w:ascii="Times New Roman" w:eastAsia="Times New Roman" w:hAnsi="Times New Roman" w:cs="Times New Roman"/>
                <w:sz w:val="24"/>
                <w:szCs w:val="24"/>
                <w:lang w:eastAsia="ru-RU"/>
              </w:rPr>
              <w:t xml:space="preserve">, </w:t>
            </w:r>
            <w:hyperlink w:anchor="Par333" w:tooltip="4.0" w:history="1">
              <w:r>
                <w:rPr>
                  <w:rFonts w:ascii="Times New Roman" w:eastAsia="Times New Roman" w:hAnsi="Times New Roman" w:cs="Times New Roman"/>
                  <w:sz w:val="24"/>
                  <w:szCs w:val="24"/>
                  <w:lang w:eastAsia="ru-RU"/>
                </w:rPr>
                <w:t>4.0</w:t>
              </w:r>
            </w:hyperlink>
            <w:r>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w:t>
            </w:r>
          </w:p>
        </w:tc>
        <w:tc>
          <w:tcPr>
            <w:tcW w:w="10665" w:type="dxa"/>
            <w:shd w:val="clear" w:color="auto" w:fill="FFFFFF"/>
          </w:tcPr>
          <w:p>
            <w:pPr>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Pr>
                <w:rFonts w:ascii="Times New Roman" w:eastAsia="Times New Roman" w:hAnsi="Times New Roman" w:cs="Times New Roman"/>
                <w:sz w:val="24"/>
                <w:szCs w:val="24"/>
                <w:lang w:eastAsia="ru-RU"/>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lastRenderedPageBreak/>
              <w:t>6.9.1</w:t>
            </w:r>
          </w:p>
        </w:tc>
        <w:tc>
          <w:tcPr>
            <w:tcW w:w="2835" w:type="dxa"/>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Складские площадки</w:t>
            </w:r>
          </w:p>
        </w:tc>
        <w:tc>
          <w:tcPr>
            <w:tcW w:w="10665" w:type="dxa"/>
            <w:shd w:val="clear" w:color="auto" w:fill="FFFFFF"/>
          </w:tcPr>
          <w:p>
            <w:pPr>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Временное хранение, распределение и перевалка грузов (за исключением хранения стратегических запасов) на открытом воздухе</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37.2.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30"/>
        <w:gridCol w:w="1435"/>
        <w:gridCol w:w="1435"/>
        <w:gridCol w:w="2091"/>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rPr>
          <w:trHeight w:val="845"/>
        </w:trP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923"/>
        </w:trP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6.7</w:t>
            </w:r>
          </w:p>
        </w:tc>
        <w:tc>
          <w:tcPr>
            <w:tcW w:w="2130"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Энергетика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6.8</w:t>
            </w:r>
          </w:p>
        </w:tc>
        <w:tc>
          <w:tcPr>
            <w:tcW w:w="2130"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Связь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7.5</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Трубопроводный транспорт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11.1</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Общее пользование водными объектами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11.2</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Специальное пользование водными объектами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11.3</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Гидротехнические сооружения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Служебные гаражи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75</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14 м.</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80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lastRenderedPageBreak/>
              <w:t>6.9.1</w:t>
            </w:r>
          </w:p>
        </w:tc>
        <w:tc>
          <w:tcPr>
            <w:tcW w:w="2130"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Складские площадки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16" w:name="_Toc80780356"/>
      <w:bookmarkStart w:id="217" w:name="_Toc99015375"/>
      <w:r>
        <w:rPr>
          <w:rFonts w:eastAsia="Times New Roman"/>
          <w:lang w:eastAsia="ru-RU"/>
        </w:rPr>
        <w:t>Статья 32. Т-1. Зона объектов транспортной инфраструктуры</w:t>
      </w:r>
      <w:bookmarkEnd w:id="216"/>
      <w:bookmarkEnd w:id="217"/>
    </w:p>
    <w:p>
      <w:pPr>
        <w:autoSpaceDE w:val="0"/>
        <w:autoSpaceDN w:val="0"/>
        <w:adjustRightInd w:val="0"/>
        <w:spacing w:after="0" w:line="25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Зона предназначена для размещение различного рода путей сообщения и сооружений, используемых для перевозки людей или грузов, хранения и обслуживания объектов транспорта.</w:t>
      </w:r>
    </w:p>
    <w:p>
      <w:pPr>
        <w:autoSpaceDE w:val="0"/>
        <w:autoSpaceDN w:val="0"/>
        <w:adjustRightInd w:val="0"/>
        <w:spacing w:after="0" w:line="25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Сочетание различных видов разрешенного использования в единой зоне возможно при соблюдении нормативных санитарных требований.</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38.1. </w:t>
      </w:r>
      <w:r>
        <w:rPr>
          <w:rFonts w:ascii="Times New Roman" w:eastAsia="Times New Roman" w:hAnsi="Times New Roman" w:cs="Times New Roman"/>
          <w:b/>
          <w:iCs/>
          <w:sz w:val="28"/>
          <w:szCs w:val="28"/>
          <w:lang w:eastAsia="ru-RU"/>
        </w:rPr>
        <w:t>Виды разрешенного использования зоны объектов транспортной инфраструктуры (Т-1)</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34"/>
        <w:gridCol w:w="2801"/>
        <w:gridCol w:w="34"/>
        <w:gridCol w:w="10631"/>
      </w:tblGrid>
      <w:tr>
        <w:trPr>
          <w:trHeight w:val="20"/>
          <w:tblHeader/>
        </w:trPr>
        <w:tc>
          <w:tcPr>
            <w:tcW w:w="4361" w:type="dxa"/>
            <w:gridSpan w:val="3"/>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gridSpan w:val="2"/>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gridSpan w:val="2"/>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gridSpan w:val="2"/>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5"/>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Т-1. Зона объектов транспортной инфраструктуры</w:t>
            </w:r>
          </w:p>
        </w:tc>
      </w:tr>
      <w:tr>
        <w:trPr>
          <w:trHeight w:val="20"/>
        </w:trPr>
        <w:tc>
          <w:tcPr>
            <w:tcW w:w="15026" w:type="dxa"/>
            <w:gridSpan w:val="5"/>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gridSpan w:val="2"/>
            <w:shd w:val="clear" w:color="auto" w:fill="FFFFFF"/>
          </w:tcPr>
          <w:p>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Служебные гаражи</w:t>
            </w:r>
          </w:p>
        </w:tc>
        <w:tc>
          <w:tcPr>
            <w:tcW w:w="10665" w:type="dxa"/>
            <w:gridSpan w:val="2"/>
            <w:shd w:val="clear" w:color="auto" w:fill="FFFFFF"/>
          </w:tcPr>
          <w:p>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w:t>
            </w:r>
            <w:r>
              <w:rPr>
                <w:rFonts w:ascii="Times New Roman" w:eastAsia="Times New Roman" w:hAnsi="Times New Roman" w:cs="Times New Roman"/>
                <w:sz w:val="24"/>
                <w:szCs w:val="24"/>
                <w:lang w:eastAsia="ru-RU"/>
              </w:rPr>
              <w:lastRenderedPageBreak/>
              <w:t xml:space="preserve">использования с </w:t>
            </w:r>
            <w:hyperlink w:anchor="Par190" w:tooltip="3.0" w:history="1">
              <w:r>
                <w:rPr>
                  <w:rFonts w:ascii="Times New Roman" w:eastAsia="Times New Roman" w:hAnsi="Times New Roman" w:cs="Times New Roman"/>
                  <w:sz w:val="24"/>
                  <w:szCs w:val="24"/>
                  <w:lang w:eastAsia="ru-RU"/>
                </w:rPr>
                <w:t>кодами 3.0</w:t>
              </w:r>
            </w:hyperlink>
            <w:r>
              <w:rPr>
                <w:rFonts w:ascii="Times New Roman" w:eastAsia="Times New Roman" w:hAnsi="Times New Roman" w:cs="Times New Roman"/>
                <w:sz w:val="24"/>
                <w:szCs w:val="24"/>
                <w:lang w:eastAsia="ru-RU"/>
              </w:rPr>
              <w:t xml:space="preserve">, </w:t>
            </w:r>
            <w:hyperlink w:anchor="Par333" w:tooltip="4.0" w:history="1">
              <w:r>
                <w:rPr>
                  <w:rFonts w:ascii="Times New Roman" w:eastAsia="Times New Roman" w:hAnsi="Times New Roman" w:cs="Times New Roman"/>
                  <w:sz w:val="24"/>
                  <w:szCs w:val="24"/>
                  <w:lang w:eastAsia="ru-RU"/>
                </w:rPr>
                <w:t>4.0</w:t>
              </w:r>
            </w:hyperlink>
            <w:r>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4.9.1</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дорожного сервиса</w:t>
            </w:r>
          </w:p>
        </w:tc>
        <w:tc>
          <w:tcPr>
            <w:tcW w:w="10665" w:type="dxa"/>
            <w:gridSpan w:val="2"/>
            <w:shd w:val="clear" w:color="auto" w:fill="FFFFFF"/>
          </w:tcPr>
          <w:p>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Pr>
                  <w:rFonts w:ascii="Times New Roman" w:eastAsia="Times New Roman" w:hAnsi="Times New Roman" w:cs="Times New Roman"/>
                  <w:sz w:val="24"/>
                  <w:szCs w:val="24"/>
                  <w:lang w:eastAsia="ru-RU"/>
                </w:rPr>
                <w:t>кодами 4.9.1.1</w:t>
              </w:r>
            </w:hyperlink>
            <w:r>
              <w:rPr>
                <w:rFonts w:ascii="Times New Roman" w:eastAsia="Times New Roman" w:hAnsi="Times New Roman" w:cs="Times New Roman"/>
                <w:sz w:val="24"/>
                <w:szCs w:val="24"/>
                <w:lang w:eastAsia="ru-RU"/>
              </w:rPr>
              <w:t xml:space="preserve"> - </w:t>
            </w:r>
            <w:hyperlink w:anchor="Par402" w:tooltip="4.9.1.4" w:history="1">
              <w:r>
                <w:rPr>
                  <w:rFonts w:ascii="Times New Roman" w:eastAsia="Times New Roman" w:hAnsi="Times New Roman" w:cs="Times New Roman"/>
                  <w:sz w:val="24"/>
                  <w:szCs w:val="24"/>
                  <w:lang w:eastAsia="ru-RU"/>
                </w:rPr>
                <w:t>4.9.1.4</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7.2</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Автомобильный транспорт</w:t>
            </w:r>
          </w:p>
        </w:tc>
        <w:tc>
          <w:tcPr>
            <w:tcW w:w="10665" w:type="dxa"/>
            <w:gridSpan w:val="2"/>
            <w:shd w:val="clear" w:color="auto" w:fill="FFFFFF"/>
          </w:tcPr>
          <w:p>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Pr>
                  <w:rFonts w:ascii="Times New Roman" w:eastAsia="Times New Roman" w:hAnsi="Times New Roman" w:cs="Times New Roman"/>
                  <w:sz w:val="24"/>
                  <w:szCs w:val="24"/>
                  <w:lang w:eastAsia="ru-RU"/>
                </w:rPr>
                <w:t>кодами 7.2.1</w:t>
              </w:r>
            </w:hyperlink>
            <w:r>
              <w:rPr>
                <w:rFonts w:ascii="Times New Roman" w:eastAsia="Times New Roman" w:hAnsi="Times New Roman" w:cs="Times New Roman"/>
                <w:sz w:val="24"/>
                <w:szCs w:val="24"/>
                <w:lang w:eastAsia="ru-RU"/>
              </w:rPr>
              <w:t xml:space="preserve"> - </w:t>
            </w:r>
            <w:hyperlink w:anchor="Par567" w:tooltip="7.2.3" w:history="1">
              <w:r>
                <w:rPr>
                  <w:rFonts w:ascii="Times New Roman" w:eastAsia="Times New Roman" w:hAnsi="Times New Roman" w:cs="Times New Roman"/>
                  <w:sz w:val="24"/>
                  <w:szCs w:val="24"/>
                  <w:lang w:eastAsia="ru-RU"/>
                </w:rPr>
                <w:t>7.2.3</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7.3</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Водный транспорт</w:t>
            </w:r>
          </w:p>
        </w:tc>
        <w:tc>
          <w:tcPr>
            <w:tcW w:w="10665" w:type="dxa"/>
            <w:gridSpan w:val="2"/>
            <w:shd w:val="clear" w:color="auto" w:fill="FFFFFF"/>
          </w:tcPr>
          <w:p>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gridSpan w:val="2"/>
            <w:shd w:val="clear" w:color="auto" w:fill="FFFFFF"/>
          </w:tcPr>
          <w:p>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gridSpan w:val="2"/>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gridSpan w:val="2"/>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gridSpan w:val="2"/>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w:t>
            </w:r>
            <w:r>
              <w:rPr>
                <w:rFonts w:ascii="Times New Roman" w:eastAsia="Times New Roman" w:hAnsi="Times New Roman" w:cs="Times New Roman"/>
                <w:sz w:val="24"/>
                <w:szCs w:val="24"/>
                <w:lang w:eastAsia="ru-RU"/>
              </w:rPr>
              <w:lastRenderedPageBreak/>
              <w:t>благоустройства</w:t>
            </w:r>
          </w:p>
        </w:tc>
      </w:tr>
      <w:tr>
        <w:trPr>
          <w:trHeight w:val="20"/>
        </w:trPr>
        <w:tc>
          <w:tcPr>
            <w:tcW w:w="15026" w:type="dxa"/>
            <w:gridSpan w:val="5"/>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rPr>
          <w:trHeight w:val="20"/>
        </w:trPr>
        <w:tc>
          <w:tcPr>
            <w:tcW w:w="1560" w:type="dxa"/>
            <w:gridSpan w:val="2"/>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7.6</w:t>
            </w:r>
          </w:p>
        </w:tc>
        <w:tc>
          <w:tcPr>
            <w:tcW w:w="2835" w:type="dxa"/>
            <w:gridSpan w:val="2"/>
            <w:shd w:val="clear" w:color="auto" w:fill="FFFFFF"/>
            <w:vAlign w:val="center"/>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Внеуличный транспорт</w:t>
            </w:r>
          </w:p>
        </w:tc>
        <w:tc>
          <w:tcPr>
            <w:tcW w:w="10631" w:type="dxa"/>
            <w:shd w:val="clear" w:color="auto" w:fill="FFFFFF"/>
            <w:vAlign w:val="center"/>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 размещение наземных сооружений иных видов внеуличного транспорта (монорельсового транспорта, подвесных </w:t>
            </w:r>
            <w:r>
              <w:rPr>
                <w:rFonts w:ascii="Times New Roman" w:eastAsia="Times New Roman" w:hAnsi="Times New Roman" w:cs="Times New Roman"/>
                <w:sz w:val="24"/>
                <w:szCs w:val="24"/>
                <w:lang w:eastAsia="ru-RU"/>
              </w:rPr>
              <w:br/>
              <w:t>канатных дорог, фуникулеров).</w:t>
            </w:r>
          </w:p>
        </w:tc>
      </w:tr>
      <w:tr>
        <w:trPr>
          <w:trHeight w:val="20"/>
        </w:trPr>
        <w:tc>
          <w:tcPr>
            <w:tcW w:w="15026" w:type="dxa"/>
            <w:gridSpan w:val="5"/>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835" w:type="dxa"/>
            <w:gridSpan w:val="2"/>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gridSpan w:val="2"/>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38.2.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30"/>
        <w:gridCol w:w="1435"/>
        <w:gridCol w:w="1435"/>
        <w:gridCol w:w="2091"/>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923"/>
        </w:trP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Служебные гаражи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75</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14 м.</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4.9.1</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Объекты дорожного сервиса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45</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7.2</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Автомобильный транспорт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7.3</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Водный транспорт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130" w:type="dxa"/>
          </w:tcPr>
          <w:p>
            <w:pPr>
              <w:widowControl w:val="0"/>
              <w:tabs>
                <w:tab w:val="left" w:pos="317"/>
              </w:tabs>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внутреннего правопорядка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18" w:name="_Toc80780357"/>
      <w:bookmarkStart w:id="219" w:name="_Toc99015376"/>
      <w:r>
        <w:rPr>
          <w:rFonts w:eastAsia="Times New Roman"/>
          <w:lang w:eastAsia="ru-RU"/>
        </w:rPr>
        <w:t>Статья 33. Т-2. Зона объектов воздушного транспорта</w:t>
      </w:r>
      <w:bookmarkEnd w:id="218"/>
      <w:bookmarkEnd w:id="219"/>
    </w:p>
    <w:p>
      <w:pPr>
        <w:autoSpaceDE w:val="0"/>
        <w:autoSpaceDN w:val="0"/>
        <w:adjustRightInd w:val="0"/>
        <w:spacing w:after="0" w:line="25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Зона предназначена для размещение различного рода путей сообщения и сооружений, используемых для перевозки людей или грузов, хранения и обслуживания объектов транспорта.</w:t>
      </w:r>
    </w:p>
    <w:p>
      <w:pPr>
        <w:autoSpaceDE w:val="0"/>
        <w:autoSpaceDN w:val="0"/>
        <w:adjustRightInd w:val="0"/>
        <w:spacing w:after="0" w:line="25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Сочетание различных видов разрешенного использования в единой зоне возможно при соблюдении нормативных санитарных требований.</w:t>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t xml:space="preserve">Таблица 39.1. </w:t>
      </w:r>
      <w:r>
        <w:rPr>
          <w:rFonts w:ascii="Times New Roman" w:eastAsia="Times New Roman" w:hAnsi="Times New Roman" w:cs="Times New Roman"/>
          <w:b/>
          <w:iCs/>
          <w:sz w:val="28"/>
          <w:szCs w:val="28"/>
          <w:lang w:eastAsia="ru-RU"/>
        </w:rPr>
        <w:t>Виды разрешенного использования зоны объектов воздушного транспорта (Т-2)</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Т-2. Зона объектов воздушного транспорта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7.4</w:t>
            </w:r>
          </w:p>
        </w:tc>
        <w:tc>
          <w:tcPr>
            <w:tcW w:w="2835"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Воздушный транспорт</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аэродромов, вертолетных площадок (вертодромов), обустройство мест для </w:t>
            </w:r>
            <w:r>
              <w:rPr>
                <w:rFonts w:ascii="Times New Roman" w:eastAsia="Times New Roman" w:hAnsi="Times New Roman" w:cs="Times New Roman"/>
                <w:sz w:val="24"/>
                <w:szCs w:val="24"/>
                <w:lang w:eastAsia="ru-RU"/>
              </w:rPr>
              <w:lastRenderedPageBreak/>
              <w:t>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предназначенных для технического обслуживания и ремонта воздушных судов</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6.9.1</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Складские площадки</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Временное хранение, распределение и перевалка грузов (за исключением хранения стратегических </w:t>
            </w:r>
            <w:r>
              <w:rPr>
                <w:rFonts w:ascii="Times New Roman" w:eastAsia="Times New Roman" w:hAnsi="Times New Roman" w:cs="Times New Roman"/>
                <w:sz w:val="24"/>
                <w:szCs w:val="24"/>
                <w:lang w:eastAsia="ru-RU"/>
              </w:rPr>
              <w:lastRenderedPageBreak/>
              <w:t>запасов) на открытом воздухе</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12.0.1</w:t>
            </w:r>
          </w:p>
        </w:tc>
        <w:tc>
          <w:tcPr>
            <w:tcW w:w="2835" w:type="dxa"/>
            <w:shd w:val="clear" w:color="auto" w:fill="FFFFFF"/>
          </w:tcPr>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Улично-дорожная сеть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pPr>
              <w:widowControl w:val="0"/>
              <w:tabs>
                <w:tab w:val="left" w:pos="317"/>
                <w:tab w:val="num" w:pos="720"/>
                <w:tab w:val="left" w:pos="900"/>
                <w:tab w:val="left" w:pos="1080"/>
                <w:tab w:val="left" w:pos="126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Pr>
                  <w:rFonts w:ascii="Times New Roman" w:eastAsia="Times New Roman" w:hAnsi="Times New Roman" w:cs="Times New Roman"/>
                  <w:sz w:val="24"/>
                  <w:szCs w:val="24"/>
                  <w:lang w:eastAsia="ru-RU"/>
                </w:rPr>
                <w:t>кодами 2.7.1</w:t>
              </w:r>
            </w:hyperlink>
            <w:r>
              <w:rPr>
                <w:rFonts w:ascii="Times New Roman" w:eastAsia="Times New Roman" w:hAnsi="Times New Roman" w:cs="Times New Roman"/>
                <w:sz w:val="24"/>
                <w:szCs w:val="24"/>
                <w:lang w:eastAsia="ru-RU"/>
              </w:rPr>
              <w:t xml:space="preserve">, </w:t>
            </w:r>
            <w:hyperlink w:anchor="Par382" w:tooltip="4.9" w:history="1">
              <w:r>
                <w:rPr>
                  <w:rFonts w:ascii="Times New Roman" w:eastAsia="Times New Roman" w:hAnsi="Times New Roman" w:cs="Times New Roman"/>
                  <w:sz w:val="24"/>
                  <w:szCs w:val="24"/>
                  <w:lang w:eastAsia="ru-RU"/>
                </w:rPr>
                <w:t>4.9</w:t>
              </w:r>
            </w:hyperlink>
            <w:r>
              <w:rPr>
                <w:rFonts w:ascii="Times New Roman" w:eastAsia="Times New Roman" w:hAnsi="Times New Roman" w:cs="Times New Roman"/>
                <w:sz w:val="24"/>
                <w:szCs w:val="24"/>
                <w:lang w:eastAsia="ru-RU"/>
              </w:rPr>
              <w:t xml:space="preserve">, </w:t>
            </w:r>
            <w:hyperlink w:anchor="Par567" w:tooltip="7.2.3" w:history="1">
              <w:r>
                <w:rPr>
                  <w:rFonts w:ascii="Times New Roman" w:eastAsia="Times New Roman" w:hAnsi="Times New Roman" w:cs="Times New Roman"/>
                  <w:sz w:val="24"/>
                  <w:szCs w:val="24"/>
                  <w:lang w:eastAsia="ru-RU"/>
                </w:rPr>
                <w:t>7.2.3</w:t>
              </w:r>
            </w:hyperlink>
            <w:r>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39.2.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817"/>
        <w:gridCol w:w="2103"/>
        <w:gridCol w:w="1435"/>
        <w:gridCol w:w="1435"/>
        <w:gridCol w:w="2031"/>
        <w:gridCol w:w="1435"/>
        <w:gridCol w:w="1435"/>
        <w:gridCol w:w="1443"/>
        <w:gridCol w:w="1435"/>
        <w:gridCol w:w="1457"/>
      </w:tblGrid>
      <w:tr>
        <w:tc>
          <w:tcPr>
            <w:tcW w:w="817"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03"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0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3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13"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57"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922"/>
        </w:trP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3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4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57"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817"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7.4</w:t>
            </w:r>
          </w:p>
        </w:tc>
        <w:tc>
          <w:tcPr>
            <w:tcW w:w="2103"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sz w:val="24"/>
                <w:szCs w:val="24"/>
                <w:lang w:eastAsia="ru-RU"/>
              </w:rPr>
              <w:t>Воздушный транспорт</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03"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6.9</w:t>
            </w:r>
          </w:p>
        </w:tc>
        <w:tc>
          <w:tcPr>
            <w:tcW w:w="2103"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80</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6.9.1</w:t>
            </w:r>
          </w:p>
        </w:tc>
        <w:tc>
          <w:tcPr>
            <w:tcW w:w="2103"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Складские площадки</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12.0.1</w:t>
            </w:r>
          </w:p>
        </w:tc>
        <w:tc>
          <w:tcPr>
            <w:tcW w:w="2103"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Улично-дорожная сеть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20" w:name="_Toc80780358"/>
      <w:bookmarkStart w:id="221" w:name="_Toc99015377"/>
      <w:r>
        <w:rPr>
          <w:rFonts w:eastAsia="Times New Roman"/>
          <w:lang w:eastAsia="ru-RU"/>
        </w:rPr>
        <w:t>Статья 34. СХ. Зона объектов сельскохозяйственного назначения</w:t>
      </w:r>
      <w:bookmarkEnd w:id="220"/>
      <w:bookmarkEnd w:id="221"/>
    </w:p>
    <w:p>
      <w:pPr>
        <w:autoSpaceDE w:val="0"/>
        <w:autoSpaceDN w:val="0"/>
        <w:adjustRightInd w:val="0"/>
        <w:spacing w:after="0" w:line="250" w:lineRule="auto"/>
        <w:ind w:firstLine="720"/>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Зона, занятая объектами сельскохозяйственного назначения и предназначенная для ведения сельского хозяйства, для осуществления хозяйственной деятельности, связанной с разведением и (или) содержанием сельскохозяйственных животных; размещения зданий и сооружений, используемых для хранения и переработки сельскохозяйственной продукции; для осуществления хозяйственной деятельности, связанной с разведением и (или) содержанием объектов рыбоводства</w:t>
      </w:r>
      <w:r>
        <w:rPr>
          <w:rFonts w:ascii="Arial" w:eastAsia="Times New Roman" w:hAnsi="Arial" w:cs="Arial"/>
          <w:iCs/>
          <w:sz w:val="26"/>
          <w:szCs w:val="26"/>
          <w:lang w:eastAsia="ru-RU"/>
        </w:rPr>
        <w:t xml:space="preserve">; </w:t>
      </w:r>
      <w:r>
        <w:rPr>
          <w:rFonts w:ascii="Times New Roman" w:eastAsia="Times New Roman" w:hAnsi="Times New Roman" w:cs="Arial"/>
          <w:sz w:val="26"/>
          <w:szCs w:val="26"/>
          <w:lang w:eastAsia="ru-RU"/>
        </w:rPr>
        <w:t>осуществление научной и селекционной работы. В территориальной зоне разрешено размещение объектов коммунального обслуживания, если их размещение не влияет на окружающую среду, не причиняет неудобства жителям, не требует установления санитарной или охранной зоны, а площадь земельных участков под названными объектами, не превышает 20% от площади территории зоны.</w:t>
      </w:r>
    </w:p>
    <w:p>
      <w:pP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br w:type="page"/>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lastRenderedPageBreak/>
        <w:t xml:space="preserve">Таблица 40.1. </w:t>
      </w:r>
      <w:r>
        <w:rPr>
          <w:rFonts w:ascii="Times New Roman" w:eastAsia="Times New Roman" w:hAnsi="Times New Roman" w:cs="Times New Roman"/>
          <w:b/>
          <w:iCs/>
          <w:sz w:val="28"/>
          <w:szCs w:val="28"/>
          <w:lang w:eastAsia="ru-RU"/>
        </w:rPr>
        <w:t>Виды разрешенного использования зоны сельскохозяйственного назначения (СХ)</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СХ. Зона сельскохозяйственного назначения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Растениеводство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связанной с выращиванием сельскохозяйственных культур.</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54" w:tooltip="1.2" w:history="1">
              <w:r>
                <w:rPr>
                  <w:rFonts w:ascii="Times New Roman" w:eastAsia="Times New Roman" w:hAnsi="Times New Roman" w:cs="Times New Roman"/>
                  <w:sz w:val="24"/>
                  <w:szCs w:val="24"/>
                  <w:lang w:eastAsia="ru-RU"/>
                </w:rPr>
                <w:t>кодами 1.2</w:t>
              </w:r>
            </w:hyperlink>
            <w:r>
              <w:rPr>
                <w:rFonts w:ascii="Times New Roman" w:eastAsia="Times New Roman" w:hAnsi="Times New Roman" w:cs="Times New Roman"/>
                <w:sz w:val="24"/>
                <w:szCs w:val="24"/>
                <w:lang w:eastAsia="ru-RU"/>
              </w:rPr>
              <w:t xml:space="preserve"> - </w:t>
            </w:r>
            <w:hyperlink w:anchor="Par66" w:tooltip="1.6" w:history="1">
              <w:r>
                <w:rPr>
                  <w:rFonts w:ascii="Times New Roman" w:eastAsia="Times New Roman" w:hAnsi="Times New Roman" w:cs="Times New Roman"/>
                  <w:sz w:val="24"/>
                  <w:szCs w:val="24"/>
                  <w:lang w:eastAsia="ru-RU"/>
                </w:rPr>
                <w:t>1.6</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1.2</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Выращивание зерновых и иных сельскохозяйственных культур</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Овощеводство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1.7</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Животноводство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Pr>
                  <w:rFonts w:ascii="Times New Roman" w:eastAsia="Times New Roman" w:hAnsi="Times New Roman" w:cs="Times New Roman"/>
                  <w:sz w:val="24"/>
                  <w:szCs w:val="24"/>
                  <w:lang w:eastAsia="ru-RU"/>
                </w:rPr>
                <w:t>кодами 1.8</w:t>
              </w:r>
            </w:hyperlink>
            <w:r>
              <w:rPr>
                <w:rFonts w:ascii="Times New Roman" w:eastAsia="Times New Roman" w:hAnsi="Times New Roman" w:cs="Times New Roman"/>
                <w:sz w:val="24"/>
                <w:szCs w:val="24"/>
                <w:lang w:eastAsia="ru-RU"/>
              </w:rPr>
              <w:t xml:space="preserve"> - </w:t>
            </w:r>
            <w:hyperlink w:anchor="Par91" w:tooltip="1.11" w:history="1">
              <w:r>
                <w:rPr>
                  <w:rFonts w:ascii="Times New Roman" w:eastAsia="Times New Roman" w:hAnsi="Times New Roman" w:cs="Times New Roman"/>
                  <w:sz w:val="24"/>
                  <w:szCs w:val="24"/>
                  <w:lang w:eastAsia="ru-RU"/>
                </w:rPr>
                <w:t>1.11</w:t>
              </w:r>
            </w:hyperlink>
            <w:r>
              <w:rPr>
                <w:rFonts w:ascii="Times New Roman" w:eastAsia="Times New Roman" w:hAnsi="Times New Roman" w:cs="Times New Roman"/>
                <w:sz w:val="24"/>
                <w:szCs w:val="24"/>
                <w:lang w:eastAsia="ru-RU"/>
              </w:rPr>
              <w:t xml:space="preserve">, </w:t>
            </w:r>
            <w:hyperlink w:anchor="Par107" w:tooltip="1.15" w:history="1">
              <w:r>
                <w:rPr>
                  <w:rFonts w:ascii="Times New Roman" w:eastAsia="Times New Roman" w:hAnsi="Times New Roman" w:cs="Times New Roman"/>
                  <w:sz w:val="24"/>
                  <w:szCs w:val="24"/>
                  <w:lang w:eastAsia="ru-RU"/>
                </w:rPr>
                <w:t>1.15</w:t>
              </w:r>
            </w:hyperlink>
            <w:r>
              <w:rPr>
                <w:rFonts w:ascii="Times New Roman" w:eastAsia="Times New Roman" w:hAnsi="Times New Roman" w:cs="Times New Roman"/>
                <w:sz w:val="24"/>
                <w:szCs w:val="24"/>
                <w:lang w:eastAsia="ru-RU"/>
              </w:rPr>
              <w:t xml:space="preserve">, </w:t>
            </w:r>
            <w:hyperlink w:anchor="Par120" w:tooltip="1.19" w:history="1">
              <w:r>
                <w:rPr>
                  <w:rFonts w:ascii="Times New Roman" w:eastAsia="Times New Roman" w:hAnsi="Times New Roman" w:cs="Times New Roman"/>
                  <w:sz w:val="24"/>
                  <w:szCs w:val="24"/>
                  <w:lang w:eastAsia="ru-RU"/>
                </w:rPr>
                <w:t>1.19</w:t>
              </w:r>
            </w:hyperlink>
            <w:r>
              <w:rPr>
                <w:rFonts w:ascii="Times New Roman" w:eastAsia="Times New Roman" w:hAnsi="Times New Roman" w:cs="Times New Roman"/>
                <w:sz w:val="24"/>
                <w:szCs w:val="24"/>
                <w:lang w:eastAsia="ru-RU"/>
              </w:rPr>
              <w:t xml:space="preserve">, </w:t>
            </w:r>
            <w:hyperlink w:anchor="Par124" w:tooltip="1.20" w:history="1">
              <w:r>
                <w:rPr>
                  <w:rFonts w:ascii="Times New Roman" w:eastAsia="Times New Roman" w:hAnsi="Times New Roman" w:cs="Times New Roman"/>
                  <w:sz w:val="24"/>
                  <w:szCs w:val="24"/>
                  <w:lang w:eastAsia="ru-RU"/>
                </w:rPr>
                <w:t>1.20</w:t>
              </w:r>
            </w:hyperlink>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1.8</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Скотоводство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1.10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Птицеводство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связанной с разведением домашних пород птиц, в том числе водоплавающих;</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Свиноводство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связанной с разведением свиней;</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Рыбоводство</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хозяйственной деятельности, связанной с разведением и (или) содержанием, выращиванием объектов рыбоводства (аквакультуры);</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сооружений, оборудования, необходимых для осуществления рыбоводства (аквакультуры)</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Научное обеспечение сельского хозяйства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коллекций генетических ресурсов растений</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1.15</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и переработка сельскохозяйственной продукции</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lastRenderedPageBreak/>
              <w:t>1.18</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сельскохозяйственного производства</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Выпас сельскохозяйственных животных</w:t>
            </w:r>
          </w:p>
        </w:tc>
        <w:tc>
          <w:tcPr>
            <w:tcW w:w="10665" w:type="dxa"/>
            <w:shd w:val="clear" w:color="auto" w:fill="FFFFFF"/>
          </w:tcPr>
          <w:p>
            <w:pPr>
              <w:widowControl w:val="0"/>
              <w:autoSpaceDE w:val="0"/>
              <w:autoSpaceDN w:val="0"/>
              <w:adjustRightInd w:val="0"/>
              <w:spacing w:after="0" w:line="240" w:lineRule="auto"/>
              <w:ind w:firstLine="35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Выпас сельскохозяйственных животных</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w:t>
            </w:r>
            <w:r>
              <w:rPr>
                <w:rFonts w:ascii="Times New Roman" w:eastAsia="Times New Roman" w:hAnsi="Times New Roman" w:cs="Times New Roman"/>
                <w:sz w:val="24"/>
                <w:szCs w:val="24"/>
                <w:lang w:eastAsia="ru-RU"/>
              </w:rPr>
              <w:lastRenderedPageBreak/>
              <w:t>благоустройства</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40.2.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57"/>
        <w:gridCol w:w="1435"/>
        <w:gridCol w:w="1435"/>
        <w:gridCol w:w="2066"/>
        <w:gridCol w:w="1435"/>
        <w:gridCol w:w="1435"/>
        <w:gridCol w:w="1457"/>
        <w:gridCol w:w="1435"/>
        <w:gridCol w:w="1461"/>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57"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59"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57"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66"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7"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1"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710" w:type="dxa"/>
            <w:vMerge/>
          </w:tcPr>
          <w:p>
            <w:pPr>
              <w:rPr>
                <w:rFonts w:ascii="Times New Roman" w:eastAsia="Times New Roman" w:hAnsi="Times New Roman" w:cs="Times New Roman"/>
                <w:sz w:val="24"/>
                <w:szCs w:val="24"/>
                <w:lang w:eastAsia="ru-RU"/>
              </w:rPr>
            </w:pPr>
          </w:p>
        </w:tc>
        <w:tc>
          <w:tcPr>
            <w:tcW w:w="2157"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66"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7"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1"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vAlign w:val="center"/>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Растениеводство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1.2</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Выращивание зерновых и иных сельскохозяйственных культур</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1.3</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Овощеводство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1.7</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Животноводство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1.8</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Скотоводство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Птицеводство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1.11</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Свиноводство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1.13</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Рыбоводство</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Научное обеспечение сельского хозяйства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1.15</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2066"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57"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61" w:type="dxa"/>
          </w:tcPr>
          <w:p>
            <w:pPr>
              <w:rPr>
                <w:rFonts w:ascii="Times New Roman" w:eastAsia="Times New Roman" w:hAnsi="Times New Roman" w:cs="Times New Roman"/>
                <w:sz w:val="20"/>
                <w:szCs w:val="20"/>
                <w:lang w:eastAsia="ru-RU"/>
              </w:rPr>
            </w:pP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1.18</w:t>
            </w:r>
          </w:p>
        </w:tc>
        <w:tc>
          <w:tcPr>
            <w:tcW w:w="2157" w:type="dxa"/>
          </w:tcPr>
          <w:p>
            <w:pPr>
              <w:widowControl w:val="0"/>
              <w:autoSpaceDE w:val="0"/>
              <w:autoSpaceDN w:val="0"/>
              <w:adjustRightInd w:val="0"/>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2066"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57"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61" w:type="dxa"/>
          </w:tcPr>
          <w:p>
            <w:pPr>
              <w:rPr>
                <w:rFonts w:ascii="Times New Roman" w:eastAsia="Times New Roman" w:hAnsi="Times New Roman" w:cs="Times New Roman"/>
                <w:sz w:val="20"/>
                <w:szCs w:val="20"/>
                <w:lang w:eastAsia="ru-RU"/>
              </w:rPr>
            </w:pP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57"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2066"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57" w:type="dxa"/>
          </w:tcPr>
          <w:p>
            <w:pPr>
              <w:rPr>
                <w:rFonts w:ascii="Times New Roman" w:eastAsia="Times New Roman" w:hAnsi="Times New Roman" w:cs="Times New Roman"/>
                <w:sz w:val="20"/>
                <w:szCs w:val="20"/>
                <w:lang w:eastAsia="ru-RU"/>
              </w:rPr>
            </w:pPr>
          </w:p>
        </w:tc>
        <w:tc>
          <w:tcPr>
            <w:tcW w:w="1435" w:type="dxa"/>
          </w:tcPr>
          <w:p>
            <w:pPr>
              <w:rPr>
                <w:rFonts w:ascii="Times New Roman" w:eastAsia="Times New Roman" w:hAnsi="Times New Roman" w:cs="Times New Roman"/>
                <w:sz w:val="20"/>
                <w:szCs w:val="20"/>
                <w:lang w:eastAsia="ru-RU"/>
              </w:rPr>
            </w:pPr>
          </w:p>
        </w:tc>
        <w:tc>
          <w:tcPr>
            <w:tcW w:w="1461" w:type="dxa"/>
          </w:tcPr>
          <w:p>
            <w:pPr>
              <w:rPr>
                <w:rFonts w:ascii="Times New Roman" w:eastAsia="Times New Roman" w:hAnsi="Times New Roman" w:cs="Times New Roman"/>
                <w:sz w:val="20"/>
                <w:szCs w:val="20"/>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157"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w:t>
            </w:r>
            <w:r>
              <w:rPr>
                <w:rFonts w:ascii="Times New Roman" w:eastAsia="Times New Roman" w:hAnsi="Times New Roman" w:cs="Times New Roman"/>
                <w:sz w:val="20"/>
                <w:szCs w:val="20"/>
                <w:lang w:eastAsia="ru-RU"/>
              </w:rPr>
              <w:lastRenderedPageBreak/>
              <w:t>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земельного </w:t>
            </w:r>
            <w:r>
              <w:rPr>
                <w:rFonts w:ascii="Times New Roman" w:eastAsia="Times New Roman" w:hAnsi="Times New Roman" w:cs="Times New Roman"/>
                <w:sz w:val="20"/>
                <w:szCs w:val="20"/>
                <w:lang w:eastAsia="ru-RU"/>
              </w:rPr>
              <w:lastRenderedPageBreak/>
              <w:t>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lastRenderedPageBreak/>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57"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57"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66"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22" w:name="_Toc80780359"/>
      <w:bookmarkStart w:id="223" w:name="_Toc99015378"/>
      <w:r>
        <w:rPr>
          <w:rFonts w:eastAsia="Times New Roman"/>
          <w:lang w:eastAsia="ru-RU"/>
        </w:rPr>
        <w:t>Статья 35. Р-1. Зона зелёных насаждений общего пользования</w:t>
      </w:r>
      <w:bookmarkEnd w:id="222"/>
      <w:bookmarkEnd w:id="223"/>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 xml:space="preserve">Зона включает благоустроенные озелененные территории (парки, сады, скверы, бульвары, места для отдыха и туризма, для занятий физической культурой и спортом), предназначенные для повседневного кратковременного отдыха населения. </w:t>
      </w: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Представленные ниже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 парков, скверов, бульваров и прочих объектов озеленения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В иных случаях – применительно к частям территории в пределах данной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pP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br w:type="page"/>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lastRenderedPageBreak/>
        <w:t xml:space="preserve">Таблица 41.1. </w:t>
      </w:r>
      <w:r>
        <w:rPr>
          <w:rFonts w:ascii="Times New Roman" w:eastAsia="Times New Roman" w:hAnsi="Times New Roman" w:cs="Times New Roman"/>
          <w:b/>
          <w:iCs/>
          <w:sz w:val="28"/>
          <w:szCs w:val="28"/>
          <w:lang w:eastAsia="ru-RU"/>
        </w:rPr>
        <w:t>Виды разрешенного использования зоны зелёных насаждений общего пользования (Р-1)</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Р-1. Зона зелёных насаждений общего 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5.0</w:t>
            </w:r>
          </w:p>
        </w:tc>
        <w:tc>
          <w:tcPr>
            <w:tcW w:w="2835" w:type="dxa"/>
            <w:shd w:val="clear" w:color="auto" w:fill="FFFFFF"/>
          </w:tcPr>
          <w:p>
            <w:pPr>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Отдых (рекреация)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5.1.3</w:t>
            </w:r>
          </w:p>
        </w:tc>
        <w:tc>
          <w:tcPr>
            <w:tcW w:w="2835" w:type="dxa"/>
            <w:shd w:val="clear" w:color="auto" w:fill="FFFFFF"/>
          </w:tcPr>
          <w:p>
            <w:pPr>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Площадки для занятий спортом</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4.10</w:t>
            </w:r>
          </w:p>
        </w:tc>
        <w:tc>
          <w:tcPr>
            <w:tcW w:w="2835" w:type="dxa"/>
            <w:shd w:val="clear" w:color="auto" w:fill="FFFFFF"/>
          </w:tcPr>
          <w:p>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bookmarkStart w:id="224" w:name="sub_10410"/>
            <w:r>
              <w:rPr>
                <w:rFonts w:ascii="Times New Roman" w:eastAsia="Times New Roman" w:hAnsi="Times New Roman" w:cs="Times New Roman"/>
                <w:sz w:val="24"/>
                <w:szCs w:val="24"/>
                <w:lang w:eastAsia="ru-RU"/>
              </w:rPr>
              <w:t>Выставочно-ярмарочная деятельность</w:t>
            </w:r>
            <w:bookmarkEnd w:id="224"/>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w:t>
            </w:r>
          </w:p>
        </w:tc>
        <w:tc>
          <w:tcPr>
            <w:tcW w:w="2835" w:type="dxa"/>
            <w:shd w:val="clear" w:color="auto" w:fill="FFFFFF"/>
          </w:tcPr>
          <w:p>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Историко-культурная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w:t>
            </w:r>
            <w:r>
              <w:rPr>
                <w:rFonts w:ascii="Times New Roman" w:eastAsia="Times New Roman" w:hAnsi="Times New Roman" w:cs="Times New Roman"/>
                <w:sz w:val="24"/>
                <w:szCs w:val="24"/>
                <w:lang w:eastAsia="ru-RU"/>
              </w:rPr>
              <w:lastRenderedPageBreak/>
              <w:t>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Обеспечение внутреннего правопорядка</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bl>
    <w:p>
      <w:pPr>
        <w:spacing w:after="0" w:line="240" w:lineRule="auto"/>
        <w:rPr>
          <w:rFonts w:ascii="Times New Roman" w:eastAsia="Times New Roman" w:hAnsi="Times New Roman" w:cs="Times New Roman"/>
          <w:iCs/>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41.2.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30"/>
        <w:gridCol w:w="1435"/>
        <w:gridCol w:w="1435"/>
        <w:gridCol w:w="2091"/>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5.0</w:t>
            </w:r>
          </w:p>
        </w:tc>
        <w:tc>
          <w:tcPr>
            <w:tcW w:w="2130" w:type="dxa"/>
          </w:tcPr>
          <w:p>
            <w:pPr>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Отдых (рекреация)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5.1.3</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Площадки для занятий спортом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4.10</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Выставочно-ярмарочная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50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Историко-культурная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130"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130" w:type="dxa"/>
          </w:tcPr>
          <w:p>
            <w:pPr>
              <w:widowControl w:val="0"/>
              <w:tabs>
                <w:tab w:val="left" w:pos="317"/>
              </w:tabs>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внутреннего правопорядка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25" w:name="_Toc80780360"/>
      <w:bookmarkStart w:id="226" w:name="_Toc99015379"/>
      <w:r>
        <w:rPr>
          <w:rFonts w:eastAsia="Times New Roman"/>
          <w:lang w:eastAsia="ru-RU"/>
        </w:rPr>
        <w:t>Статья 36. Р-2. Зона рекреационного назначения</w:t>
      </w:r>
      <w:bookmarkEnd w:id="225"/>
      <w:bookmarkEnd w:id="226"/>
    </w:p>
    <w:p>
      <w:pPr>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 </w:t>
      </w:r>
    </w:p>
    <w:p>
      <w:pP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br w:type="page"/>
      </w:r>
    </w:p>
    <w:p>
      <w:pPr>
        <w:spacing w:before="120" w:after="120" w:line="240" w:lineRule="auto"/>
        <w:jc w:val="both"/>
        <w:rPr>
          <w:rFonts w:ascii="Times New Roman" w:eastAsia="Times New Roman" w:hAnsi="Times New Roman" w:cs="Times New Roman"/>
          <w:b/>
          <w:iCs/>
          <w:sz w:val="28"/>
          <w:szCs w:val="28"/>
          <w:lang w:eastAsia="ru-RU"/>
        </w:rPr>
      </w:pPr>
      <w:r>
        <w:rPr>
          <w:rFonts w:ascii="Times New Roman" w:eastAsia="Times New Roman" w:hAnsi="Times New Roman" w:cs="Times New Roman"/>
          <w:iCs/>
          <w:sz w:val="28"/>
          <w:szCs w:val="28"/>
          <w:lang w:eastAsia="ru-RU"/>
        </w:rPr>
        <w:lastRenderedPageBreak/>
        <w:t>Таблица 42.1.</w:t>
      </w:r>
      <w:r>
        <w:rPr>
          <w:rFonts w:ascii="Times New Roman" w:eastAsia="Times New Roman" w:hAnsi="Times New Roman" w:cs="Times New Roman"/>
          <w:b/>
          <w:iCs/>
          <w:sz w:val="28"/>
          <w:szCs w:val="28"/>
          <w:lang w:eastAsia="ru-RU"/>
        </w:rPr>
        <w:t xml:space="preserve"> Виды разрешенного использования зоны рекреационного назначения (Р-2)</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Р-2. Зона рекреационного назначения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Отдых (рекреация)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Pr>
                  <w:rFonts w:ascii="Times New Roman" w:eastAsia="Times New Roman" w:hAnsi="Times New Roman" w:cs="Times New Roman"/>
                  <w:sz w:val="24"/>
                  <w:szCs w:val="24"/>
                  <w:lang w:eastAsia="ru-RU"/>
                </w:rPr>
                <w:t>кодами 5.1</w:t>
              </w:r>
            </w:hyperlink>
            <w:r>
              <w:rPr>
                <w:rFonts w:ascii="Times New Roman" w:eastAsia="Times New Roman" w:hAnsi="Times New Roman" w:cs="Times New Roman"/>
                <w:sz w:val="24"/>
                <w:szCs w:val="24"/>
                <w:lang w:eastAsia="ru-RU"/>
              </w:rPr>
              <w:t xml:space="preserve"> - </w:t>
            </w:r>
            <w:hyperlink w:anchor="Par333" w:tooltip="Поля для гольфа или конных прогулок" w:history="1">
              <w:r>
                <w:rPr>
                  <w:rFonts w:ascii="Times New Roman" w:eastAsia="Times New Roman" w:hAnsi="Times New Roman" w:cs="Times New Roman"/>
                  <w:sz w:val="24"/>
                  <w:szCs w:val="24"/>
                  <w:lang w:eastAsia="ru-RU"/>
                </w:rPr>
                <w:t>5.5</w:t>
              </w:r>
            </w:hyperlink>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5.2.</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Природно-познавательный туризм</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  </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bookmarkStart w:id="227" w:name="sub_1053"/>
            <w:r>
              <w:rPr>
                <w:rFonts w:ascii="Times New Roman" w:eastAsia="Times New Roman" w:hAnsi="Times New Roman" w:cs="Times New Roman"/>
                <w:sz w:val="24"/>
                <w:szCs w:val="24"/>
                <w:lang w:eastAsia="ru-RU"/>
              </w:rPr>
              <w:t>Охота и рыбалка</w:t>
            </w:r>
            <w:bookmarkEnd w:id="227"/>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  </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5.4</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bookmarkStart w:id="228" w:name="sub_1054"/>
            <w:r>
              <w:rPr>
                <w:rFonts w:ascii="Times New Roman" w:eastAsia="Times New Roman" w:hAnsi="Times New Roman" w:cs="Times New Roman"/>
                <w:sz w:val="24"/>
                <w:szCs w:val="24"/>
                <w:lang w:eastAsia="ru-RU"/>
              </w:rPr>
              <w:t>Причалы для маломерных судов</w:t>
            </w:r>
            <w:bookmarkEnd w:id="228"/>
          </w:p>
        </w:tc>
        <w:tc>
          <w:tcPr>
            <w:tcW w:w="10665" w:type="dxa"/>
            <w:shd w:val="clear" w:color="auto" w:fill="FFFFFF"/>
          </w:tcPr>
          <w:p>
            <w:pPr>
              <w:widowControl w:val="0"/>
              <w:autoSpaceDE w:val="0"/>
              <w:autoSpaceDN w:val="0"/>
              <w:adjustRightInd w:val="0"/>
              <w:spacing w:after="0" w:line="240" w:lineRule="auto"/>
              <w:ind w:firstLine="31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сооружений, предназначенных для причаливания, хранения и обслуживания яхт, катеров, лодок и других маломерных судов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4.7</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Гостиничное </w:t>
            </w:r>
          </w:p>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обслуживание</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гостиниц.</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w:t>
            </w:r>
          </w:p>
        </w:tc>
        <w:tc>
          <w:tcPr>
            <w:tcW w:w="2835" w:type="dxa"/>
            <w:shd w:val="clear" w:color="auto" w:fill="FFFFFF"/>
          </w:tcPr>
          <w:p>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Историко-культурная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w:t>
            </w:r>
            <w:r>
              <w:rPr>
                <w:rFonts w:ascii="Times New Roman" w:eastAsia="Times New Roman" w:hAnsi="Times New Roman" w:cs="Times New Roman"/>
                <w:sz w:val="24"/>
                <w:szCs w:val="24"/>
                <w:lang w:eastAsia="ru-RU"/>
              </w:rPr>
              <w:lastRenderedPageBreak/>
              <w:t>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12.0</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Хранение автотранспорта</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Магазины</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 м</w:t>
            </w:r>
          </w:p>
        </w:tc>
      </w:tr>
      <w:tr>
        <w:trPr>
          <w:trHeight w:val="924"/>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Общественное питание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trPr>
          <w:trHeight w:val="20"/>
        </w:trPr>
        <w:tc>
          <w:tcPr>
            <w:tcW w:w="1526" w:type="dxa"/>
            <w:shd w:val="clear" w:color="auto" w:fill="FFFFFF"/>
          </w:tcPr>
          <w:p>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Воздушный транспорт</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bl>
    <w:p>
      <w:pPr>
        <w:spacing w:after="0" w:line="240" w:lineRule="auto"/>
        <w:rPr>
          <w:rFonts w:ascii="Times New Roman" w:eastAsia="Times New Roman" w:hAnsi="Times New Roman" w:cs="Times New Roman"/>
          <w:iCs/>
          <w:sz w:val="28"/>
          <w:szCs w:val="28"/>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42.2.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30"/>
        <w:gridCol w:w="1435"/>
        <w:gridCol w:w="1435"/>
        <w:gridCol w:w="2091"/>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1922"/>
        </w:trPr>
        <w:tc>
          <w:tcPr>
            <w:tcW w:w="710" w:type="dxa"/>
            <w:vMerge/>
          </w:tcPr>
          <w:p>
            <w:pPr>
              <w:rPr>
                <w:rFonts w:ascii="Times New Roman" w:eastAsia="Times New Roman" w:hAnsi="Times New Roman" w:cs="Times New Roman"/>
                <w:sz w:val="24"/>
                <w:szCs w:val="24"/>
                <w:lang w:eastAsia="ru-RU"/>
              </w:rPr>
            </w:pPr>
          </w:p>
        </w:tc>
        <w:tc>
          <w:tcPr>
            <w:tcW w:w="2130"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5.0</w:t>
            </w:r>
          </w:p>
        </w:tc>
        <w:tc>
          <w:tcPr>
            <w:tcW w:w="2130" w:type="dxa"/>
          </w:tcPr>
          <w:p>
            <w:pPr>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Отдых (рекреация)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5.2.</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Природно-познавательный туризм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20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Охота и рыбалка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40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5.4</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Причалы для маломерных судов</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20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4.7</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Гостиничное обслуживание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p>
            <w:pPr>
              <w:rPr>
                <w:rFonts w:ascii="Times New Roman" w:eastAsia="Times New Roman" w:hAnsi="Times New Roman" w:cs="Times New Roman"/>
                <w:sz w:val="20"/>
                <w:szCs w:val="20"/>
                <w:lang w:eastAsia="ru-RU"/>
              </w:rPr>
            </w:pP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9.3</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Историко-культурная деятельность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30"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2.7.1</w:t>
            </w:r>
          </w:p>
        </w:tc>
        <w:tc>
          <w:tcPr>
            <w:tcW w:w="2130"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Хранение автотранспорта</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130" w:type="dxa"/>
          </w:tcPr>
          <w:p>
            <w:pPr>
              <w:widowControl w:val="0"/>
              <w:autoSpaceDE w:val="0"/>
              <w:autoSpaceDN w:val="0"/>
              <w:adjustRightInd w:val="0"/>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Магазины</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710" w:type="dxa"/>
          </w:tcPr>
          <w:p>
            <w:pPr>
              <w:widowControl w:val="0"/>
              <w:autoSpaceDE w:val="0"/>
              <w:autoSpaceDN w:val="0"/>
              <w:adjustRightInd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w:t>
            </w:r>
          </w:p>
        </w:tc>
        <w:tc>
          <w:tcPr>
            <w:tcW w:w="2130"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Общественное питание</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0"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29" w:name="_Toc80780361"/>
      <w:bookmarkStart w:id="230" w:name="_Toc99015380"/>
      <w:r>
        <w:rPr>
          <w:rFonts w:eastAsia="Times New Roman"/>
          <w:lang w:eastAsia="ru-RU"/>
        </w:rPr>
        <w:t>Статья 37. СП-1. Зона специального назначения, связанная с захоронениями</w:t>
      </w:r>
      <w:bookmarkEnd w:id="229"/>
      <w:bookmarkEnd w:id="230"/>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Зона предназначена для размещения кладбищ, колумбариев. 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p>
      <w:pPr>
        <w:rPr>
          <w:rFonts w:ascii="Times New Roman" w:eastAsia="Times New Roman" w:hAnsi="Times New Roman" w:cs="Arial"/>
          <w:iCs/>
          <w:sz w:val="28"/>
          <w:szCs w:val="28"/>
          <w:lang w:eastAsia="ru-RU"/>
        </w:rPr>
      </w:pPr>
      <w:r>
        <w:rPr>
          <w:rFonts w:ascii="Times New Roman" w:eastAsia="Times New Roman" w:hAnsi="Times New Roman" w:cs="Arial"/>
          <w:iCs/>
          <w:sz w:val="28"/>
          <w:szCs w:val="28"/>
          <w:lang w:eastAsia="ru-RU"/>
        </w:rPr>
        <w:br w:type="page"/>
      </w:r>
    </w:p>
    <w:p>
      <w:pPr>
        <w:autoSpaceDE w:val="0"/>
        <w:autoSpaceDN w:val="0"/>
        <w:adjustRightInd w:val="0"/>
        <w:spacing w:after="0" w:line="250" w:lineRule="auto"/>
        <w:jc w:val="both"/>
        <w:rPr>
          <w:rFonts w:ascii="Times New Roman" w:eastAsia="Times New Roman" w:hAnsi="Times New Roman" w:cs="Arial"/>
          <w:b/>
          <w:iCs/>
          <w:sz w:val="28"/>
          <w:szCs w:val="28"/>
          <w:lang w:eastAsia="ru-RU"/>
        </w:rPr>
      </w:pPr>
      <w:r>
        <w:rPr>
          <w:rFonts w:ascii="Times New Roman" w:eastAsia="Times New Roman" w:hAnsi="Times New Roman" w:cs="Arial"/>
          <w:iCs/>
          <w:sz w:val="28"/>
          <w:szCs w:val="28"/>
          <w:lang w:eastAsia="ru-RU"/>
        </w:rPr>
        <w:lastRenderedPageBreak/>
        <w:t>Таблица 43.1.</w:t>
      </w:r>
      <w:r>
        <w:rPr>
          <w:rFonts w:ascii="Times New Roman" w:eastAsia="Times New Roman" w:hAnsi="Times New Roman" w:cs="Arial"/>
          <w:b/>
          <w:iCs/>
          <w:sz w:val="28"/>
          <w:szCs w:val="28"/>
          <w:lang w:eastAsia="ru-RU"/>
        </w:rPr>
        <w:t xml:space="preserve"> Виды разрешенного использования зоны специального назначения, связанная с захоронениями (СП-1)</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 xml:space="preserve">СП-1. Зона специального назначения, связанная с захоронениями </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Ритуальная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кладбищ, крематориев и мест захоронения;</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соответствующих культовых сооружений;</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осуществление деятельности по производству продукции ритуально-обрядового назначения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Бытовое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835" w:type="dxa"/>
            <w:shd w:val="clear" w:color="auto" w:fill="FFFFFF"/>
          </w:tcPr>
          <w:p>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Религиозное использование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Pr>
                  <w:rFonts w:ascii="Times New Roman" w:eastAsia="Times New Roman" w:hAnsi="Times New Roman" w:cs="Times New Roman"/>
                  <w:sz w:val="24"/>
                  <w:szCs w:val="24"/>
                  <w:lang w:eastAsia="ru-RU"/>
                </w:rPr>
                <w:t>кодами 3.7.1</w:t>
              </w:r>
            </w:hyperlink>
            <w:r>
              <w:rPr>
                <w:rFonts w:ascii="Times New Roman" w:eastAsia="Times New Roman" w:hAnsi="Times New Roman" w:cs="Times New Roman"/>
                <w:sz w:val="24"/>
                <w:szCs w:val="24"/>
                <w:lang w:eastAsia="ru-RU"/>
              </w:rPr>
              <w:t xml:space="preserve"> - </w:t>
            </w:r>
            <w:hyperlink w:anchor="Par286" w:tooltip="3.7.2" w:history="1">
              <w:r>
                <w:rPr>
                  <w:rFonts w:ascii="Times New Roman" w:eastAsia="Times New Roman" w:hAnsi="Times New Roman" w:cs="Times New Roman"/>
                  <w:sz w:val="24"/>
                  <w:szCs w:val="24"/>
                  <w:lang w:eastAsia="ru-RU"/>
                </w:rPr>
                <w:t>3.7.2</w:t>
              </w:r>
            </w:hyperlink>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Предоставление коммунальных услуг</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Земельные участки (территории) общего пользования</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17"/>
              <w:jc w:val="both"/>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w:t>
            </w:r>
            <w:r>
              <w:rPr>
                <w:rFonts w:ascii="Times New Roman" w:eastAsia="Times New Roman" w:hAnsi="Times New Roman" w:cs="Times New Roman"/>
                <w:color w:val="000000"/>
                <w:sz w:val="24"/>
                <w:szCs w:val="24"/>
                <w:lang w:eastAsia="ru-RU"/>
              </w:rPr>
              <w:t xml:space="preserve">использования с </w:t>
            </w:r>
            <w:hyperlink w:anchor="Par664" w:tooltip="12.0.1" w:history="1">
              <w:r>
                <w:rPr>
                  <w:rFonts w:ascii="Times New Roman" w:eastAsia="Times New Roman" w:hAnsi="Times New Roman" w:cs="Times New Roman"/>
                  <w:color w:val="000000"/>
                  <w:sz w:val="24"/>
                  <w:szCs w:val="24"/>
                  <w:lang w:eastAsia="ru-RU"/>
                </w:rPr>
                <w:t>кодами 12.0.1</w:t>
              </w:r>
            </w:hyperlink>
            <w:r>
              <w:rPr>
                <w:rFonts w:ascii="Times New Roman" w:eastAsia="Times New Roman" w:hAnsi="Times New Roman" w:cs="Times New Roman"/>
                <w:color w:val="000000"/>
                <w:sz w:val="24"/>
                <w:szCs w:val="24"/>
                <w:lang w:eastAsia="ru-RU"/>
              </w:rPr>
              <w:t xml:space="preserve"> - </w:t>
            </w:r>
            <w:hyperlink w:anchor="Par668" w:tooltip="12.0.2" w:history="1">
              <w:r>
                <w:rPr>
                  <w:rFonts w:ascii="Times New Roman" w:eastAsia="Times New Roman" w:hAnsi="Times New Roman" w:cs="Times New Roman"/>
                  <w:color w:val="000000"/>
                  <w:sz w:val="24"/>
                  <w:szCs w:val="24"/>
                  <w:lang w:eastAsia="ru-RU"/>
                </w:rPr>
                <w:t>12.0.2</w:t>
              </w:r>
            </w:hyperlink>
          </w:p>
        </w:tc>
      </w:tr>
    </w:tbl>
    <w:p>
      <w:pPr>
        <w:spacing w:after="0" w:line="240" w:lineRule="auto"/>
        <w:rPr>
          <w:rFonts w:ascii="Times New Roman" w:eastAsia="Times New Roman" w:hAnsi="Times New Roman" w:cs="Times New Roman"/>
          <w:sz w:val="24"/>
          <w:szCs w:val="24"/>
          <w:lang w:eastAsia="ru-RU"/>
        </w:rPr>
      </w:pP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t xml:space="preserve">Таблица 43.2.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28"/>
        <w:gridCol w:w="1435"/>
        <w:gridCol w:w="1435"/>
        <w:gridCol w:w="2093"/>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29"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7"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29" w:type="dxa"/>
            <w:vMerge/>
          </w:tcPr>
          <w:p>
            <w:pPr>
              <w:rPr>
                <w:rFonts w:ascii="Times New Roman" w:eastAsia="Times New Roman" w:hAnsi="Times New Roman" w:cs="Times New Roman"/>
                <w:sz w:val="24"/>
                <w:szCs w:val="24"/>
                <w:lang w:eastAsia="ru-RU"/>
              </w:rPr>
            </w:pPr>
          </w:p>
        </w:tc>
        <w:tc>
          <w:tcPr>
            <w:tcW w:w="2868"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4"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9"/>
        </w:trPr>
        <w:tc>
          <w:tcPr>
            <w:tcW w:w="710" w:type="dxa"/>
            <w:vMerge/>
          </w:tcPr>
          <w:p>
            <w:pPr>
              <w:rPr>
                <w:rFonts w:ascii="Times New Roman" w:eastAsia="Times New Roman" w:hAnsi="Times New Roman" w:cs="Times New Roman"/>
                <w:sz w:val="24"/>
                <w:szCs w:val="24"/>
                <w:lang w:eastAsia="ru-RU"/>
              </w:rPr>
            </w:pPr>
          </w:p>
        </w:tc>
        <w:tc>
          <w:tcPr>
            <w:tcW w:w="2129" w:type="dxa"/>
            <w:vMerge/>
          </w:tcPr>
          <w:p>
            <w:pPr>
              <w:rPr>
                <w:rFonts w:ascii="Times New Roman" w:eastAsia="Times New Roman" w:hAnsi="Times New Roman" w:cs="Times New Roman"/>
                <w:sz w:val="24"/>
                <w:szCs w:val="24"/>
                <w:lang w:eastAsia="ru-RU"/>
              </w:rPr>
            </w:pPr>
          </w:p>
        </w:tc>
        <w:tc>
          <w:tcPr>
            <w:tcW w:w="143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4"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Ритуальная деятельность</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209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Расстояние от границ участков кладбищ традиционного захоронения: до красной линии – 3 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всех типов кладбищ площадь мест захоронения должна составлять не менее 65-75% от общей площади кладбища, а площадь зеленых насаждений - не менее 25%</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pPr>
              <w:rPr>
                <w:rFonts w:ascii="Times New Roman" w:eastAsia="Times New Roman" w:hAnsi="Times New Roman" w:cs="Times New Roman"/>
                <w:sz w:val="20"/>
                <w:szCs w:val="20"/>
                <w:lang w:eastAsia="ru-RU"/>
              </w:rPr>
            </w:pP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3.3</w:t>
            </w:r>
          </w:p>
        </w:tc>
        <w:tc>
          <w:tcPr>
            <w:tcW w:w="2129"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Бытовое обслуживание</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9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w:t>
            </w:r>
            <w:r>
              <w:rPr>
                <w:rFonts w:ascii="Times New Roman" w:eastAsia="Times New Roman" w:hAnsi="Times New Roman" w:cs="Times New Roman"/>
                <w:sz w:val="20"/>
                <w:szCs w:val="20"/>
                <w:lang w:eastAsia="ru-RU"/>
              </w:rPr>
              <w:lastRenderedPageBreak/>
              <w:t>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w:t>
            </w:r>
            <w:r>
              <w:rPr>
                <w:rFonts w:ascii="Times New Roman" w:eastAsia="Times New Roman" w:hAnsi="Times New Roman" w:cs="Times New Roman"/>
                <w:sz w:val="20"/>
                <w:szCs w:val="20"/>
                <w:lang w:eastAsia="ru-RU"/>
              </w:rPr>
              <w:lastRenderedPageBreak/>
              <w:t>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3.7</w:t>
            </w:r>
          </w:p>
        </w:tc>
        <w:tc>
          <w:tcPr>
            <w:tcW w:w="2129" w:type="dxa"/>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Религиозное использование</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Минимальная ширина земельного участка – 20 м.</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3.1.1</w:t>
            </w:r>
          </w:p>
        </w:tc>
        <w:tc>
          <w:tcPr>
            <w:tcW w:w="2129" w:type="dxa"/>
            <w:vAlign w:val="center"/>
          </w:tcPr>
          <w:p>
            <w:pPr>
              <w:widowControl w:val="0"/>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Предоставление коммунальных услуг</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12.0</w:t>
            </w:r>
          </w:p>
        </w:tc>
        <w:tc>
          <w:tcPr>
            <w:tcW w:w="2129"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Земельные участки (территории) общего пользования</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4"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spacing w:after="0" w:line="240" w:lineRule="auto"/>
        <w:ind w:firstLine="709"/>
        <w:contextualSpacing/>
        <w:jc w:val="both"/>
        <w:rPr>
          <w:rFonts w:ascii="Times New Roman" w:eastAsia="Calibri" w:hAnsi="Times New Roman" w:cs="Times New Roman"/>
          <w:sz w:val="24"/>
          <w:szCs w:val="28"/>
        </w:rPr>
      </w:pPr>
    </w:p>
    <w:p>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Кладбища размещают на расстоянии:</w:t>
      </w:r>
    </w:p>
    <w:p>
      <w:pPr>
        <w:numPr>
          <w:ilvl w:val="0"/>
          <w:numId w:val="17"/>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От территорий жилой застройки, рекреационных зон, зон отдыха, стационарных лечебных учреждений, территорий садоводческих, огороднических и дачных объединений или индивидуальных участков не менее:</w:t>
      </w:r>
    </w:p>
    <w:p>
      <w:pPr>
        <w:numPr>
          <w:ilvl w:val="0"/>
          <w:numId w:val="16"/>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50 м для сельского кладбища, закрытого кладбища и кладбищ с погребением после кремации;</w:t>
      </w:r>
    </w:p>
    <w:p>
      <w:pPr>
        <w:numPr>
          <w:ilvl w:val="0"/>
          <w:numId w:val="16"/>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100 м при площади кладбища </w:t>
      </w:r>
      <w:smartTag w:uri="urn:schemas-microsoft-com:office:smarttags" w:element="metricconverter">
        <w:smartTagPr>
          <w:attr w:name="ProductID" w:val="10 га"/>
        </w:smartTagPr>
        <w:r>
          <w:rPr>
            <w:rFonts w:ascii="Times New Roman" w:eastAsia="Calibri" w:hAnsi="Times New Roman" w:cs="Times New Roman"/>
            <w:sz w:val="26"/>
            <w:szCs w:val="26"/>
          </w:rPr>
          <w:t>10 га</w:t>
        </w:r>
      </w:smartTag>
      <w:r>
        <w:rPr>
          <w:rFonts w:ascii="Times New Roman" w:eastAsia="Calibri" w:hAnsi="Times New Roman" w:cs="Times New Roman"/>
          <w:sz w:val="26"/>
          <w:szCs w:val="26"/>
        </w:rPr>
        <w:t xml:space="preserve"> и менее;</w:t>
      </w:r>
    </w:p>
    <w:p>
      <w:pPr>
        <w:numPr>
          <w:ilvl w:val="0"/>
          <w:numId w:val="16"/>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300 м при площади кладбища от 10 до </w:t>
      </w:r>
      <w:smartTag w:uri="urn:schemas-microsoft-com:office:smarttags" w:element="metricconverter">
        <w:smartTagPr>
          <w:attr w:name="ProductID" w:val="20 га"/>
        </w:smartTagPr>
        <w:r>
          <w:rPr>
            <w:rFonts w:ascii="Times New Roman" w:eastAsia="Calibri" w:hAnsi="Times New Roman" w:cs="Times New Roman"/>
            <w:sz w:val="26"/>
            <w:szCs w:val="26"/>
          </w:rPr>
          <w:t>20 га</w:t>
        </w:r>
      </w:smartTag>
      <w:r>
        <w:rPr>
          <w:rFonts w:ascii="Times New Roman" w:eastAsia="Calibri" w:hAnsi="Times New Roman" w:cs="Times New Roman"/>
          <w:sz w:val="26"/>
          <w:szCs w:val="26"/>
        </w:rPr>
        <w:t>;</w:t>
      </w:r>
    </w:p>
    <w:p>
      <w:pPr>
        <w:numPr>
          <w:ilvl w:val="0"/>
          <w:numId w:val="16"/>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500 м при площади кладбища от20 до </w:t>
      </w:r>
      <w:smartTag w:uri="urn:schemas-microsoft-com:office:smarttags" w:element="metricconverter">
        <w:smartTagPr>
          <w:attr w:name="ProductID" w:val="40 га"/>
        </w:smartTagPr>
        <w:r>
          <w:rPr>
            <w:rFonts w:ascii="Times New Roman" w:eastAsia="Calibri" w:hAnsi="Times New Roman" w:cs="Times New Roman"/>
            <w:sz w:val="26"/>
            <w:szCs w:val="26"/>
          </w:rPr>
          <w:t>40 га</w:t>
        </w:r>
      </w:smartTag>
      <w:r>
        <w:rPr>
          <w:rFonts w:ascii="Times New Roman" w:eastAsia="Calibri" w:hAnsi="Times New Roman" w:cs="Times New Roman"/>
          <w:sz w:val="26"/>
          <w:szCs w:val="26"/>
        </w:rPr>
        <w:t>.</w:t>
      </w:r>
    </w:p>
    <w:p>
      <w:pPr>
        <w:numPr>
          <w:ilvl w:val="0"/>
          <w:numId w:val="16"/>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Pr>
            <w:rFonts w:ascii="Times New Roman" w:eastAsia="Calibri" w:hAnsi="Times New Roman" w:cs="Times New Roman"/>
            <w:sz w:val="26"/>
            <w:szCs w:val="26"/>
          </w:rPr>
          <w:t>1000 м</w:t>
        </w:r>
      </w:smartTag>
      <w:r>
        <w:rPr>
          <w:rFonts w:ascii="Times New Roman" w:eastAsia="Calibri" w:hAnsi="Times New Roman" w:cs="Times New Roman"/>
          <w:sz w:val="26"/>
          <w:szCs w:val="26"/>
        </w:rPr>
        <w:t xml:space="preserve"> с подтверждением достаточности расстояния расчётами поясов зон санитарной охраны водоисточника и времени фильтрации;</w:t>
      </w:r>
    </w:p>
    <w:p>
      <w:pPr>
        <w:numPr>
          <w:ilvl w:val="0"/>
          <w:numId w:val="17"/>
        </w:numPr>
        <w:spacing w:after="0"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В сельских населенных пунктах, в которых используются колодцы,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населённым пунктом обеспечивается в соответствии с результатами расчётов очистки грунтовых вод и данными лабораторных исследований.</w:t>
      </w:r>
    </w:p>
    <w:p>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lastRenderedPageBreak/>
        <w:t xml:space="preserve">На участках кладбищ предусматривается зона зелёных насаждений шириной не менее </w:t>
      </w:r>
      <w:smartTag w:uri="urn:schemas-microsoft-com:office:smarttags" w:element="metricconverter">
        <w:smartTagPr>
          <w:attr w:name="ProductID" w:val="20 м"/>
        </w:smartTagPr>
        <w:r>
          <w:rPr>
            <w:rFonts w:ascii="Times New Roman" w:eastAsia="Calibri" w:hAnsi="Times New Roman" w:cs="Times New Roman"/>
            <w:sz w:val="26"/>
            <w:szCs w:val="26"/>
          </w:rPr>
          <w:t>20 м</w:t>
        </w:r>
      </w:smartTag>
      <w:r>
        <w:rPr>
          <w:rFonts w:ascii="Times New Roman" w:eastAsia="Calibri" w:hAnsi="Times New Roman" w:cs="Times New Roman"/>
          <w:sz w:val="26"/>
          <w:szCs w:val="26"/>
        </w:rPr>
        <w:t>, стоянки автокатафалков и автотранспорта, урны для сбора мусора, площадки для мусоросборников с подъездами к ним.</w:t>
      </w:r>
    </w:p>
    <w:p>
      <w:pPr>
        <w:spacing w:after="0" w:line="240" w:lineRule="auto"/>
        <w:jc w:val="both"/>
        <w:rPr>
          <w:rFonts w:ascii="Times New Roman" w:eastAsia="Times New Roman" w:hAnsi="Times New Roman" w:cs="Times New Roman"/>
          <w:sz w:val="24"/>
          <w:szCs w:val="24"/>
          <w:lang w:eastAsia="ru-RU"/>
        </w:rPr>
      </w:pPr>
    </w:p>
    <w:p>
      <w:pPr>
        <w:pStyle w:val="3"/>
        <w:rPr>
          <w:rFonts w:eastAsia="Times New Roman"/>
          <w:lang w:eastAsia="ru-RU"/>
        </w:rPr>
      </w:pPr>
      <w:bookmarkStart w:id="231" w:name="_Toc80780362"/>
      <w:bookmarkStart w:id="232" w:name="_Toc99015381"/>
      <w:r>
        <w:rPr>
          <w:rFonts w:eastAsia="Times New Roman"/>
          <w:lang w:eastAsia="ru-RU"/>
        </w:rPr>
        <w:t>Статья 38. СП-2. Зона специального назначения, связанная с размещением отходов</w:t>
      </w:r>
      <w:bookmarkEnd w:id="231"/>
      <w:bookmarkEnd w:id="232"/>
      <w:r>
        <w:rPr>
          <w:rFonts w:eastAsia="Times New Roman"/>
          <w:lang w:eastAsia="ru-RU"/>
        </w:rPr>
        <w:t xml:space="preserve">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 xml:space="preserve">Зона предназначена для размещения объектов, связанных с хранением и утилизацией бытовых отходов.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p>
      <w:pPr>
        <w:autoSpaceDE w:val="0"/>
        <w:autoSpaceDN w:val="0"/>
        <w:adjustRightInd w:val="0"/>
        <w:spacing w:after="0" w:line="250" w:lineRule="auto"/>
        <w:jc w:val="both"/>
        <w:rPr>
          <w:rFonts w:ascii="Times New Roman" w:eastAsia="Times New Roman" w:hAnsi="Times New Roman" w:cs="Arial"/>
          <w:b/>
          <w:iCs/>
          <w:sz w:val="28"/>
          <w:szCs w:val="28"/>
          <w:lang w:eastAsia="ru-RU"/>
        </w:rPr>
      </w:pPr>
      <w:r>
        <w:rPr>
          <w:rFonts w:ascii="Times New Roman" w:eastAsia="Times New Roman" w:hAnsi="Times New Roman" w:cs="Arial"/>
          <w:iCs/>
          <w:sz w:val="28"/>
          <w:szCs w:val="28"/>
          <w:lang w:eastAsia="ru-RU"/>
        </w:rPr>
        <w:t>Таблица 44.1.</w:t>
      </w:r>
      <w:r>
        <w:rPr>
          <w:rFonts w:ascii="Times New Roman" w:eastAsia="Times New Roman" w:hAnsi="Times New Roman" w:cs="Arial"/>
          <w:b/>
          <w:iCs/>
          <w:sz w:val="28"/>
          <w:szCs w:val="28"/>
          <w:lang w:eastAsia="ru-RU"/>
        </w:rPr>
        <w:t xml:space="preserve"> Виды разрешенного использования зоны специального назначения, связанной с размещением отходов (СП-2)</w:t>
      </w: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 xml:space="preserve">СП-2. Зона специального назначения, связанная с размещением отходов </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12.2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Специальная деятельность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w:t>
            </w:r>
            <w:r>
              <w:rPr>
                <w:rFonts w:ascii="Times New Roman" w:eastAsia="Times New Roman" w:hAnsi="Times New Roman" w:cs="Times New Roman"/>
                <w:sz w:val="24"/>
                <w:szCs w:val="24"/>
                <w:lang w:eastAsia="ru-RU"/>
              </w:rPr>
              <w:lastRenderedPageBreak/>
              <w:t>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lastRenderedPageBreak/>
              <w:t>Условно разрешенные виды использования</w:t>
            </w:r>
          </w:p>
        </w:tc>
      </w:tr>
      <w:tr>
        <w:trPr>
          <w:trHeight w:val="20"/>
        </w:trPr>
        <w:tc>
          <w:tcPr>
            <w:tcW w:w="15026" w:type="dxa"/>
            <w:gridSpan w:val="3"/>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Деловое управление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bl>
    <w:p>
      <w:pPr>
        <w:spacing w:after="0" w:line="240" w:lineRule="auto"/>
        <w:ind w:firstLine="680"/>
        <w:jc w:val="both"/>
        <w:rPr>
          <w:rFonts w:ascii="Times New Roman" w:eastAsia="Times New Roman" w:hAnsi="Times New Roman" w:cs="Times New Roman"/>
          <w:b/>
          <w:color w:val="000000"/>
          <w:sz w:val="23"/>
          <w:szCs w:val="23"/>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44.2.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1"/>
        <w:gridCol w:w="2132"/>
        <w:gridCol w:w="1431"/>
        <w:gridCol w:w="1435"/>
        <w:gridCol w:w="2092"/>
        <w:gridCol w:w="1435"/>
        <w:gridCol w:w="1435"/>
        <w:gridCol w:w="1458"/>
        <w:gridCol w:w="1435"/>
        <w:gridCol w:w="1462"/>
      </w:tblGrid>
      <w:tr>
        <w:tc>
          <w:tcPr>
            <w:tcW w:w="711"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2"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3"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1" w:type="dxa"/>
            <w:vMerge/>
          </w:tcPr>
          <w:p>
            <w:pPr>
              <w:rPr>
                <w:rFonts w:ascii="Times New Roman" w:eastAsia="Times New Roman" w:hAnsi="Times New Roman" w:cs="Times New Roman"/>
                <w:sz w:val="24"/>
                <w:szCs w:val="24"/>
                <w:lang w:eastAsia="ru-RU"/>
              </w:rPr>
            </w:pPr>
          </w:p>
        </w:tc>
        <w:tc>
          <w:tcPr>
            <w:tcW w:w="2132" w:type="dxa"/>
            <w:vMerge/>
          </w:tcPr>
          <w:p>
            <w:pPr>
              <w:rPr>
                <w:rFonts w:ascii="Times New Roman" w:eastAsia="Times New Roman" w:hAnsi="Times New Roman" w:cs="Times New Roman"/>
                <w:sz w:val="24"/>
                <w:szCs w:val="24"/>
                <w:lang w:eastAsia="ru-RU"/>
              </w:rPr>
            </w:pPr>
          </w:p>
        </w:tc>
        <w:tc>
          <w:tcPr>
            <w:tcW w:w="2865"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3"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711" w:type="dxa"/>
            <w:vMerge/>
          </w:tcPr>
          <w:p>
            <w:pPr>
              <w:rPr>
                <w:rFonts w:ascii="Times New Roman" w:eastAsia="Times New Roman" w:hAnsi="Times New Roman" w:cs="Times New Roman"/>
                <w:sz w:val="24"/>
                <w:szCs w:val="24"/>
                <w:lang w:eastAsia="ru-RU"/>
              </w:rPr>
            </w:pPr>
          </w:p>
        </w:tc>
        <w:tc>
          <w:tcPr>
            <w:tcW w:w="2132" w:type="dxa"/>
            <w:vMerge/>
          </w:tcPr>
          <w:p>
            <w:pPr>
              <w:rPr>
                <w:rFonts w:ascii="Times New Roman" w:eastAsia="Times New Roman" w:hAnsi="Times New Roman" w:cs="Times New Roman"/>
                <w:sz w:val="24"/>
                <w:szCs w:val="24"/>
                <w:lang w:eastAsia="ru-RU"/>
              </w:rPr>
            </w:pPr>
          </w:p>
        </w:tc>
        <w:tc>
          <w:tcPr>
            <w:tcW w:w="1432"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3"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3"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1"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12.2</w:t>
            </w:r>
          </w:p>
        </w:tc>
        <w:tc>
          <w:tcPr>
            <w:tcW w:w="2132"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Специальная деятельность</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433"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10</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Max: 40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1"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2"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2"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1"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4.1</w:t>
            </w:r>
          </w:p>
        </w:tc>
        <w:tc>
          <w:tcPr>
            <w:tcW w:w="2132"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Деловое управление</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143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Минимальный отступ от красной линии улиц до границ </w:t>
            </w:r>
            <w:r>
              <w:rPr>
                <w:rFonts w:ascii="Times New Roman" w:eastAsia="Times New Roman" w:hAnsi="Times New Roman" w:cs="Times New Roman"/>
                <w:sz w:val="20"/>
                <w:szCs w:val="20"/>
                <w:lang w:eastAsia="ru-RU"/>
              </w:rPr>
              <w:lastRenderedPageBreak/>
              <w:t>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60</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Минимальная ширина земельного </w:t>
            </w:r>
            <w:r>
              <w:rPr>
                <w:rFonts w:ascii="Times New Roman" w:eastAsia="Times New Roman" w:hAnsi="Times New Roman" w:cs="Times New Roman"/>
                <w:sz w:val="20"/>
                <w:szCs w:val="20"/>
                <w:lang w:eastAsia="ru-RU"/>
              </w:rPr>
              <w:lastRenderedPageBreak/>
              <w:t>участка – 20 м.</w:t>
            </w:r>
          </w:p>
        </w:tc>
      </w:tr>
    </w:tbl>
    <w:p>
      <w:pPr>
        <w:pStyle w:val="3"/>
        <w:rPr>
          <w:rFonts w:eastAsia="Times New Roman"/>
          <w:lang w:eastAsia="ru-RU"/>
        </w:rPr>
      </w:pPr>
      <w:bookmarkStart w:id="233" w:name="_Toc80780363"/>
      <w:bookmarkStart w:id="234" w:name="_Toc99015382"/>
      <w:r>
        <w:rPr>
          <w:rFonts w:eastAsia="Times New Roman"/>
          <w:lang w:eastAsia="ru-RU"/>
        </w:rPr>
        <w:lastRenderedPageBreak/>
        <w:t>Статья 39. СП-3. Зона специального назначения, связанная с государственными объектами.</w:t>
      </w:r>
      <w:bookmarkEnd w:id="233"/>
      <w:bookmarkEnd w:id="234"/>
      <w:r>
        <w:rPr>
          <w:rFonts w:eastAsia="Times New Roman"/>
          <w:lang w:eastAsia="ru-RU"/>
        </w:rPr>
        <w:t xml:space="preserve"> </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Зона предназначена для размещения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в отношении территорий которых устанавливается особый режим.</w:t>
      </w:r>
    </w:p>
    <w:p>
      <w:pPr>
        <w:suppressAutoHyphens/>
        <w:spacing w:after="0" w:line="240" w:lineRule="auto"/>
        <w:ind w:firstLine="709"/>
        <w:jc w:val="both"/>
        <w:rPr>
          <w:rFonts w:ascii="Times New Roman" w:eastAsia="MS Mincho" w:hAnsi="Times New Roman" w:cs="Times New Roman"/>
          <w:sz w:val="28"/>
          <w:szCs w:val="28"/>
          <w:lang w:eastAsia="ar-SA"/>
        </w:rPr>
      </w:pPr>
    </w:p>
    <w:p>
      <w:pPr>
        <w:autoSpaceDE w:val="0"/>
        <w:autoSpaceDN w:val="0"/>
        <w:adjustRightInd w:val="0"/>
        <w:spacing w:after="0" w:line="250" w:lineRule="auto"/>
        <w:jc w:val="both"/>
        <w:rPr>
          <w:rFonts w:ascii="Times New Roman" w:eastAsia="Times New Roman" w:hAnsi="Times New Roman" w:cs="Arial"/>
          <w:b/>
          <w:iCs/>
          <w:sz w:val="28"/>
          <w:szCs w:val="28"/>
          <w:lang w:eastAsia="ru-RU"/>
        </w:rPr>
      </w:pPr>
      <w:r>
        <w:rPr>
          <w:rFonts w:ascii="Times New Roman" w:eastAsia="Times New Roman" w:hAnsi="Times New Roman" w:cs="Arial"/>
          <w:iCs/>
          <w:sz w:val="28"/>
          <w:szCs w:val="28"/>
          <w:lang w:eastAsia="ru-RU"/>
        </w:rPr>
        <w:t>Таблица 45.1.</w:t>
      </w:r>
      <w:r>
        <w:rPr>
          <w:rFonts w:ascii="Times New Roman" w:eastAsia="Times New Roman" w:hAnsi="Times New Roman" w:cs="Arial"/>
          <w:b/>
          <w:iCs/>
          <w:sz w:val="28"/>
          <w:szCs w:val="28"/>
          <w:lang w:eastAsia="ru-RU"/>
        </w:rPr>
        <w:t xml:space="preserve"> Виды разрешенного использования зоны специального назначения, связанной с государственными объектами (СП-3)</w:t>
      </w:r>
    </w:p>
    <w:p>
      <w:pPr>
        <w:spacing w:after="0" w:line="240" w:lineRule="auto"/>
        <w:rPr>
          <w:rFonts w:ascii="Times New Roman" w:eastAsia="Times New Roman" w:hAnsi="Times New Roman" w:cs="Times New Roman"/>
          <w:sz w:val="24"/>
          <w:szCs w:val="24"/>
          <w:lang w:eastAsia="ru-RU"/>
        </w:rPr>
      </w:pPr>
    </w:p>
    <w:tbl>
      <w:tblPr>
        <w:tblW w:w="15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 xml:space="preserve">СП-3. Зона специального назначения, связанная с государственными объектами </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8.0</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bookmarkStart w:id="235" w:name="sub_1080"/>
            <w:r>
              <w:rPr>
                <w:rFonts w:ascii="Times New Roman" w:eastAsia="Times New Roman" w:hAnsi="Times New Roman" w:cs="Times New Roman"/>
                <w:iCs/>
                <w:sz w:val="24"/>
                <w:szCs w:val="24"/>
                <w:lang w:eastAsia="ru-RU"/>
              </w:rPr>
              <w:t>Обеспечение обороны и безопасности</w:t>
            </w:r>
            <w:bookmarkEnd w:id="235"/>
          </w:p>
        </w:tc>
        <w:tc>
          <w:tcPr>
            <w:tcW w:w="10665" w:type="dxa"/>
            <w:shd w:val="clear" w:color="auto" w:fill="FFFFFF"/>
          </w:tcPr>
          <w:p>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зданий военных училищ, военных институтов, военных университетов, военных академий;</w:t>
            </w:r>
          </w:p>
          <w:p>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обеспечивающих осуществление таможенной деятельности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8.1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Обеспечение вооруженных сил</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объектов, для обеспечения безопасности которых были созданы закрытые административно-территориальные образования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8.2</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Охрана Государственной границы Российской Федерации</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Обеспечение внутреннего правопорядка</w:t>
            </w:r>
          </w:p>
        </w:tc>
        <w:tc>
          <w:tcPr>
            <w:tcW w:w="10665" w:type="dxa"/>
            <w:shd w:val="clear" w:color="auto" w:fill="FFFFFF"/>
          </w:tcPr>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pPr>
              <w:widowControl w:val="0"/>
              <w:tabs>
                <w:tab w:val="left" w:pos="540"/>
                <w:tab w:val="num" w:pos="720"/>
                <w:tab w:val="left" w:pos="900"/>
                <w:tab w:val="left" w:pos="1080"/>
                <w:tab w:val="left" w:pos="1260"/>
              </w:tabs>
              <w:spacing w:after="0" w:line="240" w:lineRule="auto"/>
              <w:ind w:firstLine="34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026" w:type="dxa"/>
            <w:gridSpan w:val="3"/>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w:t>
            </w:r>
            <w:r>
              <w:rPr>
                <w:rFonts w:ascii="Times New Roman" w:eastAsia="Times New Roman" w:hAnsi="Times New Roman" w:cs="Times New Roman"/>
                <w:sz w:val="24"/>
                <w:szCs w:val="24"/>
                <w:lang w:eastAsia="ru-RU"/>
              </w:rPr>
              <w:lastRenderedPageBreak/>
              <w:t>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bl>
    <w:p>
      <w:pPr>
        <w:spacing w:after="0" w:line="240" w:lineRule="auto"/>
        <w:rPr>
          <w:rFonts w:ascii="Times New Roman" w:eastAsia="Times New Roman" w:hAnsi="Times New Roman" w:cs="Times New Roman"/>
          <w:sz w:val="24"/>
          <w:szCs w:val="24"/>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45.2.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710"/>
        <w:gridCol w:w="2130"/>
        <w:gridCol w:w="1435"/>
        <w:gridCol w:w="1435"/>
        <w:gridCol w:w="2091"/>
        <w:gridCol w:w="1435"/>
        <w:gridCol w:w="1435"/>
        <w:gridCol w:w="1458"/>
        <w:gridCol w:w="1435"/>
        <w:gridCol w:w="1462"/>
      </w:tblGrid>
      <w:tr>
        <w:tc>
          <w:tcPr>
            <w:tcW w:w="710"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31"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85"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710" w:type="dxa"/>
            <w:vMerge/>
          </w:tcPr>
          <w:p>
            <w:pPr>
              <w:rPr>
                <w:rFonts w:ascii="Times New Roman" w:eastAsia="Times New Roman" w:hAnsi="Times New Roman" w:cs="Times New Roman"/>
                <w:sz w:val="24"/>
                <w:szCs w:val="24"/>
                <w:lang w:eastAsia="ru-RU"/>
              </w:rPr>
            </w:pPr>
          </w:p>
        </w:tc>
        <w:tc>
          <w:tcPr>
            <w:tcW w:w="2131" w:type="dxa"/>
            <w:vMerge/>
          </w:tcPr>
          <w:p>
            <w:pPr>
              <w:rPr>
                <w:rFonts w:ascii="Times New Roman" w:eastAsia="Times New Roman" w:hAnsi="Times New Roman" w:cs="Times New Roman"/>
                <w:sz w:val="24"/>
                <w:szCs w:val="24"/>
                <w:lang w:eastAsia="ru-RU"/>
              </w:rPr>
            </w:pPr>
          </w:p>
        </w:tc>
        <w:tc>
          <w:tcPr>
            <w:tcW w:w="2867"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93"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28"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62"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710" w:type="dxa"/>
            <w:vMerge/>
          </w:tcPr>
          <w:p>
            <w:pPr>
              <w:rPr>
                <w:rFonts w:ascii="Times New Roman" w:eastAsia="Times New Roman" w:hAnsi="Times New Roman" w:cs="Times New Roman"/>
                <w:sz w:val="24"/>
                <w:szCs w:val="24"/>
                <w:lang w:eastAsia="ru-RU"/>
              </w:rPr>
            </w:pPr>
          </w:p>
        </w:tc>
        <w:tc>
          <w:tcPr>
            <w:tcW w:w="2131" w:type="dxa"/>
            <w:vMerge/>
          </w:tcPr>
          <w:p>
            <w:pPr>
              <w:rPr>
                <w:rFonts w:ascii="Times New Roman" w:eastAsia="Times New Roman" w:hAnsi="Times New Roman" w:cs="Times New Roman"/>
                <w:sz w:val="24"/>
                <w:szCs w:val="24"/>
                <w:lang w:eastAsia="ru-RU"/>
              </w:rPr>
            </w:pPr>
          </w:p>
        </w:tc>
        <w:tc>
          <w:tcPr>
            <w:tcW w:w="1432"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93"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58"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62"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8.0</w:t>
            </w:r>
          </w:p>
        </w:tc>
        <w:tc>
          <w:tcPr>
            <w:tcW w:w="2131"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Обеспечение обороны и безопасности</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8.1</w:t>
            </w:r>
          </w:p>
        </w:tc>
        <w:tc>
          <w:tcPr>
            <w:tcW w:w="2131"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Обеспечение вооруженных сил</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8.2</w:t>
            </w:r>
          </w:p>
        </w:tc>
        <w:tc>
          <w:tcPr>
            <w:tcW w:w="2131"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iCs/>
                <w:sz w:val="20"/>
                <w:szCs w:val="20"/>
                <w:lang w:eastAsia="ru-RU"/>
              </w:rPr>
              <w:t>Охрана Государственной границы Российской Федерации</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8.3</w:t>
            </w:r>
          </w:p>
        </w:tc>
        <w:tc>
          <w:tcPr>
            <w:tcW w:w="2131" w:type="dxa"/>
          </w:tcPr>
          <w:p>
            <w:pPr>
              <w:widowControl w:val="0"/>
              <w:tabs>
                <w:tab w:val="left" w:pos="317"/>
              </w:tabs>
              <w:autoSpaceDE w:val="0"/>
              <w:autoSpaceDN w:val="0"/>
              <w:adjustRightInd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Обеспечение внутреннего правопорядка</w:t>
            </w:r>
          </w:p>
        </w:tc>
        <w:tc>
          <w:tcPr>
            <w:tcW w:w="143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 от красной линии проездов до границ земельного участка – 2м.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lastRenderedPageBreak/>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710"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31"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2"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9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8"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62"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bl>
    <w:p>
      <w:pPr>
        <w:pStyle w:val="3"/>
        <w:rPr>
          <w:rFonts w:eastAsia="Times New Roman"/>
          <w:lang w:eastAsia="ru-RU"/>
        </w:rPr>
      </w:pPr>
      <w:bookmarkStart w:id="236" w:name="_Toc80780364"/>
      <w:bookmarkStart w:id="237" w:name="_Toc99015383"/>
      <w:r>
        <w:rPr>
          <w:rFonts w:eastAsia="Times New Roman"/>
          <w:lang w:eastAsia="ru-RU"/>
        </w:rPr>
        <w:t>Статья 40. СП-4. Зона зелёных насаждений специального назначения.</w:t>
      </w:r>
      <w:bookmarkEnd w:id="236"/>
      <w:bookmarkEnd w:id="237"/>
      <w:r>
        <w:rPr>
          <w:rFonts w:eastAsia="Times New Roman"/>
          <w:lang w:eastAsia="ru-RU"/>
        </w:rPr>
        <w:t xml:space="preserve">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 xml:space="preserve">Зона выделена для обеспечения правовых условий градостроительной деятельности на территориях, используемых для организации зелёных насаждений защитного назначения, прилегающих к объектам производственного, коммунального назначения, объектам инженерной и транспортной инфраструктуры.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jc w:val="both"/>
        <w:rPr>
          <w:rFonts w:ascii="Times New Roman" w:eastAsia="Times New Roman" w:hAnsi="Times New Roman" w:cs="Arial"/>
          <w:b/>
          <w:iCs/>
          <w:sz w:val="28"/>
          <w:szCs w:val="28"/>
          <w:lang w:eastAsia="ru-RU"/>
        </w:rPr>
      </w:pPr>
      <w:r>
        <w:rPr>
          <w:rFonts w:ascii="Times New Roman" w:eastAsia="Times New Roman" w:hAnsi="Times New Roman" w:cs="Arial"/>
          <w:iCs/>
          <w:sz w:val="28"/>
          <w:szCs w:val="28"/>
          <w:lang w:eastAsia="ru-RU"/>
        </w:rPr>
        <w:t>Таблица 46.1.</w:t>
      </w:r>
      <w:r>
        <w:rPr>
          <w:rFonts w:ascii="Times New Roman" w:eastAsia="Times New Roman" w:hAnsi="Times New Roman" w:cs="Arial"/>
          <w:b/>
          <w:iCs/>
          <w:sz w:val="28"/>
          <w:szCs w:val="28"/>
          <w:lang w:eastAsia="ru-RU"/>
        </w:rPr>
        <w:t xml:space="preserve"> Виды разрешенного использования зоны зелёных насаждений специального назначения (СП-4)</w:t>
      </w:r>
    </w:p>
    <w:p>
      <w:pPr>
        <w:spacing w:after="0" w:line="240" w:lineRule="auto"/>
        <w:rPr>
          <w:rFonts w:ascii="Times New Roman" w:eastAsia="Times New Roman" w:hAnsi="Times New Roman" w:cs="Times New Roman"/>
          <w:sz w:val="24"/>
          <w:szCs w:val="24"/>
          <w:lang w:eastAsia="ru-RU"/>
        </w:rPr>
      </w:pP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 xml:space="preserve">СП-4. Зона зелёных насаждений специального назначения </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9.1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Охрана природных территорий</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9.1.1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Сохранение и репродукция редких и (или) находящихся под </w:t>
            </w:r>
            <w:r>
              <w:rPr>
                <w:rFonts w:ascii="Times New Roman" w:eastAsia="Times New Roman" w:hAnsi="Times New Roman" w:cs="Times New Roman"/>
                <w:sz w:val="24"/>
                <w:szCs w:val="24"/>
                <w:lang w:eastAsia="ru-RU"/>
              </w:rPr>
              <w:lastRenderedPageBreak/>
              <w:t>угрозой исчезновения видов животных</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Осуществление хозяйственной деятельности, связанной с сохранением и репродукцией редких и (или) находящихся под угрозой исчезновения видов животных; размещение зданий, сооружений, используемых для содержания и (или) репродукции редких и (или) находящихся под угрозой </w:t>
            </w:r>
            <w:r>
              <w:rPr>
                <w:rFonts w:ascii="Times New Roman" w:eastAsia="Times New Roman" w:hAnsi="Times New Roman" w:cs="Times New Roman"/>
                <w:sz w:val="24"/>
                <w:szCs w:val="24"/>
                <w:lang w:eastAsia="ru-RU"/>
              </w:rPr>
              <w:lastRenderedPageBreak/>
              <w:t>исчезновения видов животных</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lastRenderedPageBreak/>
              <w:t>12.0.1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Улично-дорожная сеть</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pPr>
              <w:widowControl w:val="0"/>
              <w:autoSpaceDE w:val="0"/>
              <w:autoSpaceDN w:val="0"/>
              <w:adjustRightInd w:val="0"/>
              <w:spacing w:after="0" w:line="240" w:lineRule="auto"/>
              <w:ind w:firstLine="31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Pr>
                  <w:rFonts w:ascii="Times New Roman" w:eastAsia="Times New Roman" w:hAnsi="Times New Roman" w:cs="Times New Roman"/>
                  <w:sz w:val="24"/>
                  <w:szCs w:val="24"/>
                  <w:lang w:eastAsia="ru-RU"/>
                </w:rPr>
                <w:t>кодами 2.7.1</w:t>
              </w:r>
            </w:hyperlink>
            <w:r>
              <w:rPr>
                <w:rFonts w:ascii="Times New Roman" w:eastAsia="Times New Roman" w:hAnsi="Times New Roman" w:cs="Times New Roman"/>
                <w:sz w:val="24"/>
                <w:szCs w:val="24"/>
                <w:lang w:eastAsia="ru-RU"/>
              </w:rPr>
              <w:t xml:space="preserve">, </w:t>
            </w:r>
            <w:hyperlink w:anchor="Par382" w:tooltip="4.9" w:history="1">
              <w:r>
                <w:rPr>
                  <w:rFonts w:ascii="Times New Roman" w:eastAsia="Times New Roman" w:hAnsi="Times New Roman" w:cs="Times New Roman"/>
                  <w:sz w:val="24"/>
                  <w:szCs w:val="24"/>
                  <w:lang w:eastAsia="ru-RU"/>
                </w:rPr>
                <w:t>4.9</w:t>
              </w:r>
            </w:hyperlink>
            <w:r>
              <w:rPr>
                <w:rFonts w:ascii="Times New Roman" w:eastAsia="Times New Roman" w:hAnsi="Times New Roman" w:cs="Times New Roman"/>
                <w:sz w:val="24"/>
                <w:szCs w:val="24"/>
                <w:lang w:eastAsia="ru-RU"/>
              </w:rPr>
              <w:t xml:space="preserve">, </w:t>
            </w:r>
            <w:hyperlink w:anchor="Par567" w:tooltip="7.2.3" w:history="1">
              <w:r>
                <w:rPr>
                  <w:rFonts w:ascii="Times New Roman" w:eastAsia="Times New Roman" w:hAnsi="Times New Roman" w:cs="Times New Roman"/>
                  <w:sz w:val="24"/>
                  <w:szCs w:val="24"/>
                  <w:lang w:eastAsia="ru-RU"/>
                </w:rPr>
                <w:t>7.2.3</w:t>
              </w:r>
            </w:hyperlink>
            <w:r>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835" w:type="dxa"/>
            <w:shd w:val="clear" w:color="auto" w:fill="FFFFFF"/>
          </w:tcPr>
          <w:p>
            <w:pPr>
              <w:widowControl w:val="0"/>
              <w:tabs>
                <w:tab w:val="left" w:pos="540"/>
                <w:tab w:val="num" w:pos="720"/>
                <w:tab w:val="left" w:pos="900"/>
                <w:tab w:val="left" w:pos="1080"/>
                <w:tab w:val="left" w:pos="1260"/>
              </w:tabs>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Коммунальное обслуживание</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bl>
    <w:p>
      <w:pPr>
        <w:spacing w:after="0" w:line="240" w:lineRule="auto"/>
        <w:rPr>
          <w:rFonts w:ascii="Times New Roman" w:eastAsia="Times New Roman" w:hAnsi="Times New Roman" w:cs="Times New Roman"/>
          <w:b/>
          <w:color w:val="000000"/>
          <w:sz w:val="23"/>
          <w:szCs w:val="23"/>
          <w:lang w:eastAsia="ru-RU"/>
        </w:rPr>
      </w:pPr>
    </w:p>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46.2.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817"/>
        <w:gridCol w:w="2103"/>
        <w:gridCol w:w="1435"/>
        <w:gridCol w:w="1435"/>
        <w:gridCol w:w="2031"/>
        <w:gridCol w:w="1435"/>
        <w:gridCol w:w="1435"/>
        <w:gridCol w:w="1443"/>
        <w:gridCol w:w="1435"/>
        <w:gridCol w:w="1457"/>
      </w:tblGrid>
      <w:tr>
        <w:tc>
          <w:tcPr>
            <w:tcW w:w="817"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03"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0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3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13"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57"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3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4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57"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9.1</w:t>
            </w:r>
          </w:p>
        </w:tc>
        <w:tc>
          <w:tcPr>
            <w:tcW w:w="2103" w:type="dxa"/>
          </w:tcPr>
          <w:p>
            <w:pPr>
              <w:widowControl w:val="0"/>
              <w:tabs>
                <w:tab w:val="left" w:pos="540"/>
                <w:tab w:val="num" w:pos="720"/>
                <w:tab w:val="left" w:pos="900"/>
                <w:tab w:val="left" w:pos="1080"/>
                <w:tab w:val="left" w:pos="1260"/>
              </w:tabs>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Охрана природных территорий</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9.1.1</w:t>
            </w:r>
          </w:p>
        </w:tc>
        <w:tc>
          <w:tcPr>
            <w:tcW w:w="2103" w:type="dxa"/>
          </w:tcPr>
          <w:p>
            <w:pPr>
              <w:widowControl w:val="0"/>
              <w:tabs>
                <w:tab w:val="left" w:pos="540"/>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Сохранение и репродукция редких и (или) находящихся под угрозой исчезновения видов животных</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12.0.1</w:t>
            </w:r>
          </w:p>
        </w:tc>
        <w:tc>
          <w:tcPr>
            <w:tcW w:w="2103" w:type="dxa"/>
          </w:tcPr>
          <w:p>
            <w:pPr>
              <w:widowControl w:val="0"/>
              <w:tabs>
                <w:tab w:val="left" w:pos="317"/>
                <w:tab w:val="num" w:pos="720"/>
                <w:tab w:val="left" w:pos="900"/>
                <w:tab w:val="left" w:pos="1080"/>
                <w:tab w:val="left" w:pos="1260"/>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Улично-дорожная сеть</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sz w:val="24"/>
                <w:szCs w:val="24"/>
                <w:lang w:eastAsia="ru-RU"/>
              </w:rPr>
              <w:t>3.1</w:t>
            </w:r>
          </w:p>
        </w:tc>
        <w:tc>
          <w:tcPr>
            <w:tcW w:w="2103" w:type="dxa"/>
          </w:tcPr>
          <w:p>
            <w:pPr>
              <w:widowControl w:val="0"/>
              <w:tabs>
                <w:tab w:val="left" w:pos="540"/>
                <w:tab w:val="num" w:pos="720"/>
                <w:tab w:val="left" w:pos="900"/>
                <w:tab w:val="left" w:pos="1080"/>
                <w:tab w:val="left" w:pos="1260"/>
              </w:tabs>
              <w:rPr>
                <w:rFonts w:ascii="Times New Roman" w:eastAsia="Times New Roman" w:hAnsi="Times New Roman" w:cs="Times New Roman"/>
                <w:iCs/>
                <w:sz w:val="20"/>
                <w:szCs w:val="20"/>
                <w:lang w:eastAsia="ru-RU"/>
              </w:rPr>
            </w:pPr>
            <w:r>
              <w:rPr>
                <w:rFonts w:ascii="Times New Roman" w:eastAsia="Times New Roman" w:hAnsi="Times New Roman" w:cs="Times New Roman"/>
                <w:sz w:val="20"/>
                <w:szCs w:val="20"/>
                <w:lang w:eastAsia="ru-RU"/>
              </w:rPr>
              <w:t>Коммунальное обслуживание</w:t>
            </w:r>
          </w:p>
        </w:tc>
        <w:tc>
          <w:tcPr>
            <w:tcW w:w="1435" w:type="dxa"/>
          </w:tcPr>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0,00</w:t>
            </w:r>
            <w:r>
              <w:rPr>
                <w:rFonts w:ascii="Times New Roman" w:eastAsia="Times New Roman" w:hAnsi="Times New Roman" w:cs="Times New Roman"/>
                <w:sz w:val="20"/>
                <w:szCs w:val="20"/>
                <w:lang w:val="en-US" w:eastAsia="ru-RU"/>
              </w:rPr>
              <w:t>03</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bl>
    <w:p>
      <w:pPr>
        <w:spacing w:after="0" w:line="240" w:lineRule="auto"/>
        <w:rPr>
          <w:rFonts w:ascii="Times New Roman" w:eastAsia="Times New Roman" w:hAnsi="Times New Roman" w:cs="Times New Roman"/>
          <w:sz w:val="24"/>
          <w:szCs w:val="24"/>
          <w:lang w:eastAsia="ru-RU"/>
        </w:rPr>
      </w:pPr>
    </w:p>
    <w:p>
      <w:pPr>
        <w:pStyle w:val="3"/>
        <w:rPr>
          <w:rFonts w:eastAsia="Times New Roman"/>
          <w:lang w:eastAsia="ru-RU"/>
        </w:rPr>
      </w:pPr>
      <w:bookmarkStart w:id="238" w:name="_Toc80780365"/>
      <w:bookmarkStart w:id="239" w:name="_Toc99015384"/>
      <w:r>
        <w:rPr>
          <w:rFonts w:eastAsia="Times New Roman"/>
          <w:lang w:eastAsia="ru-RU"/>
        </w:rPr>
        <w:lastRenderedPageBreak/>
        <w:t>Статья 41. СП-5. Научно-производственная зона.</w:t>
      </w:r>
      <w:bookmarkEnd w:id="238"/>
      <w:bookmarkEnd w:id="239"/>
      <w:r>
        <w:rPr>
          <w:rFonts w:eastAsia="Times New Roman"/>
          <w:lang w:eastAsia="ru-RU"/>
        </w:rPr>
        <w:t xml:space="preserve">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 xml:space="preserve">Зона выделена для обеспечения правовых условий градостроительной деятельности на территориях, используемых для размещения метеорологических станций. </w:t>
      </w:r>
    </w:p>
    <w:p>
      <w:pPr>
        <w:autoSpaceDE w:val="0"/>
        <w:autoSpaceDN w:val="0"/>
        <w:adjustRightInd w:val="0"/>
        <w:spacing w:after="0" w:line="250" w:lineRule="auto"/>
        <w:ind w:firstLine="720"/>
        <w:jc w:val="both"/>
        <w:rPr>
          <w:rFonts w:ascii="Times New Roman" w:eastAsia="Times New Roman" w:hAnsi="Times New Roman" w:cs="Arial"/>
          <w:iCs/>
          <w:sz w:val="26"/>
          <w:szCs w:val="26"/>
          <w:lang w:eastAsia="ru-RU"/>
        </w:rPr>
      </w:pPr>
      <w:r>
        <w:rPr>
          <w:rFonts w:ascii="Times New Roman" w:eastAsia="Times New Roman" w:hAnsi="Times New Roman" w:cs="Arial"/>
          <w:iCs/>
          <w:sz w:val="26"/>
          <w:szCs w:val="26"/>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jc w:val="both"/>
        <w:rPr>
          <w:rFonts w:ascii="Times New Roman" w:eastAsia="Times New Roman" w:hAnsi="Times New Roman" w:cs="Arial"/>
          <w:b/>
          <w:iCs/>
          <w:sz w:val="28"/>
          <w:szCs w:val="28"/>
          <w:lang w:eastAsia="ru-RU"/>
        </w:rPr>
      </w:pPr>
      <w:r>
        <w:rPr>
          <w:rFonts w:ascii="Times New Roman" w:eastAsia="Times New Roman" w:hAnsi="Times New Roman" w:cs="Arial"/>
          <w:iCs/>
          <w:sz w:val="28"/>
          <w:szCs w:val="28"/>
          <w:lang w:eastAsia="ru-RU"/>
        </w:rPr>
        <w:t>Таблица 47.1.</w:t>
      </w:r>
      <w:r>
        <w:rPr>
          <w:rFonts w:ascii="Times New Roman" w:eastAsia="Times New Roman" w:hAnsi="Times New Roman" w:cs="Arial"/>
          <w:b/>
          <w:iCs/>
          <w:sz w:val="28"/>
          <w:szCs w:val="28"/>
          <w:lang w:eastAsia="ru-RU"/>
        </w:rPr>
        <w:t xml:space="preserve"> Виды разрешенного использования научно-производственной зоны (СП-5)</w:t>
      </w:r>
    </w:p>
    <w:p>
      <w:pPr>
        <w:spacing w:after="0" w:line="240" w:lineRule="auto"/>
        <w:rPr>
          <w:rFonts w:ascii="Times New Roman" w:eastAsia="Times New Roman" w:hAnsi="Times New Roman" w:cs="Times New Roman"/>
          <w:sz w:val="24"/>
          <w:szCs w:val="24"/>
          <w:lang w:eastAsia="ru-RU"/>
        </w:rPr>
      </w:pPr>
    </w:p>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5A0" w:firstRow="1" w:lastRow="0" w:firstColumn="1" w:lastColumn="1" w:noHBand="0" w:noVBand="1"/>
      </w:tblPr>
      <w:tblGrid>
        <w:gridCol w:w="1526"/>
        <w:gridCol w:w="2835"/>
        <w:gridCol w:w="10665"/>
      </w:tblGrid>
      <w:tr>
        <w:trPr>
          <w:trHeight w:val="20"/>
          <w:tblHeader/>
        </w:trPr>
        <w:tc>
          <w:tcPr>
            <w:tcW w:w="4361" w:type="dxa"/>
            <w:gridSpan w:val="2"/>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Виды разрешенного использования земельного участка, установленные классификатором</w:t>
            </w:r>
          </w:p>
        </w:tc>
        <w:tc>
          <w:tcPr>
            <w:tcW w:w="10665" w:type="dxa"/>
            <w:vMerge w:val="restart"/>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Наименование территориальной зоны и описание видов разрешенного использования земельных участков и объектов капитального строительства</w:t>
            </w:r>
          </w:p>
        </w:tc>
      </w:tr>
      <w:tr>
        <w:trPr>
          <w:trHeight w:val="20"/>
          <w:tblHeader/>
        </w:trPr>
        <w:tc>
          <w:tcPr>
            <w:tcW w:w="1526" w:type="dxa"/>
            <w:shd w:val="clear" w:color="auto" w:fill="FFFFFF"/>
          </w:tcPr>
          <w:p>
            <w:pPr>
              <w:widowControl w:val="0"/>
              <w:autoSpaceDE w:val="0"/>
              <w:autoSpaceDN w:val="0"/>
              <w:adjustRightInd w:val="0"/>
              <w:spacing w:after="0" w:line="240" w:lineRule="auto"/>
              <w:ind w:left="5" w:hanging="5"/>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sz w:val="24"/>
                <w:szCs w:val="24"/>
                <w:lang w:eastAsia="ru-RU"/>
              </w:rPr>
              <w:t>Кодовое обозначение</w:t>
            </w:r>
          </w:p>
        </w:tc>
        <w:tc>
          <w:tcPr>
            <w:tcW w:w="2835" w:type="dxa"/>
            <w:shd w:val="clear" w:color="auto" w:fill="FFFFFF"/>
            <w:vAlign w:val="center"/>
          </w:tcPr>
          <w:p>
            <w:pPr>
              <w:widowControl w:val="0"/>
              <w:autoSpaceDE w:val="0"/>
              <w:autoSpaceDN w:val="0"/>
              <w:adjustRightInd w:val="0"/>
              <w:spacing w:after="0" w:line="240" w:lineRule="auto"/>
              <w:ind w:left="5" w:hanging="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w:t>
            </w:r>
          </w:p>
        </w:tc>
        <w:tc>
          <w:tcPr>
            <w:tcW w:w="10665" w:type="dxa"/>
            <w:vMerge/>
            <w:shd w:val="clear" w:color="auto" w:fill="FFFFFF"/>
          </w:tcPr>
          <w:p>
            <w:pPr>
              <w:widowControl w:val="0"/>
              <w:tabs>
                <w:tab w:val="left" w:pos="540"/>
                <w:tab w:val="num" w:pos="720"/>
                <w:tab w:val="left" w:pos="900"/>
                <w:tab w:val="left" w:pos="1080"/>
                <w:tab w:val="left" w:pos="1260"/>
              </w:tabs>
              <w:spacing w:after="0" w:line="240" w:lineRule="auto"/>
              <w:jc w:val="both"/>
              <w:rPr>
                <w:rFonts w:ascii="Times New Roman" w:eastAsia="Times New Roman" w:hAnsi="Times New Roman" w:cs="Times New Roman"/>
                <w:b/>
                <w:iCs/>
                <w:sz w:val="24"/>
                <w:szCs w:val="24"/>
                <w:lang w:eastAsia="ru-RU"/>
              </w:rPr>
            </w:pP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 xml:space="preserve">СП-5. Научно-производственная зона </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rPr>
          <w:trHeight w:val="20"/>
        </w:trPr>
        <w:tc>
          <w:tcPr>
            <w:tcW w:w="1526" w:type="dxa"/>
            <w:shd w:val="clear" w:color="auto" w:fill="FFFFFF"/>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3.9.1</w:t>
            </w:r>
          </w:p>
        </w:tc>
        <w:tc>
          <w:tcPr>
            <w:tcW w:w="2835" w:type="dxa"/>
            <w:shd w:val="clear" w:color="auto" w:fill="FFFFFF"/>
          </w:tcPr>
          <w:p>
            <w:pPr>
              <w:widowControl w:val="0"/>
              <w:autoSpaceDE w:val="0"/>
              <w:autoSpaceDN w:val="0"/>
              <w:adjustRightInd w:val="0"/>
              <w:spacing w:after="0" w:line="240" w:lineRule="auto"/>
              <w:rPr>
                <w:rFonts w:ascii="Times New Roman" w:eastAsia="Calibri" w:hAnsi="Times New Roman" w:cs="Times New Roman"/>
                <w:b/>
                <w:iCs/>
                <w:sz w:val="24"/>
                <w:szCs w:val="24"/>
              </w:rPr>
            </w:pPr>
            <w:r>
              <w:rPr>
                <w:rFonts w:ascii="Times New Roman" w:eastAsia="Times New Roman" w:hAnsi="Times New Roman" w:cs="Times New Roman"/>
                <w:sz w:val="24"/>
                <w:szCs w:val="24"/>
                <w:lang w:eastAsia="ru-RU"/>
              </w:rPr>
              <w:t>Обеспечение деятельности в области гидрометеорологии и смежных с ней областях</w:t>
            </w:r>
          </w:p>
        </w:tc>
        <w:tc>
          <w:tcPr>
            <w:tcW w:w="10665" w:type="dxa"/>
            <w:shd w:val="clear" w:color="auto" w:fill="FFFFFF"/>
          </w:tcPr>
          <w:p>
            <w:pPr>
              <w:widowControl w:val="0"/>
              <w:autoSpaceDE w:val="0"/>
              <w:autoSpaceDN w:val="0"/>
              <w:adjustRightInd w:val="0"/>
              <w:spacing w:after="0" w:line="240" w:lineRule="auto"/>
              <w:ind w:firstLine="317"/>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установлены</w:t>
            </w:r>
          </w:p>
        </w:tc>
      </w:tr>
      <w:tr>
        <w:trPr>
          <w:trHeight w:val="20"/>
        </w:trPr>
        <w:tc>
          <w:tcPr>
            <w:tcW w:w="15026" w:type="dxa"/>
            <w:gridSpan w:val="3"/>
            <w:shd w:val="clear" w:color="auto" w:fill="FFFFFF"/>
            <w:vAlign w:val="center"/>
          </w:tcPr>
          <w:p>
            <w:pPr>
              <w:widowControl w:val="0"/>
              <w:tabs>
                <w:tab w:val="left" w:pos="540"/>
                <w:tab w:val="num" w:pos="720"/>
                <w:tab w:val="left" w:pos="900"/>
                <w:tab w:val="left" w:pos="1080"/>
                <w:tab w:val="left" w:pos="1260"/>
              </w:tabs>
              <w:spacing w:after="0" w:line="240" w:lineRule="auto"/>
              <w:jc w:val="center"/>
              <w:rPr>
                <w:rFonts w:ascii="Times New Roman" w:eastAsia="Times New Roman" w:hAnsi="Times New Roman" w:cs="Times New Roman"/>
                <w:b/>
                <w:iCs/>
                <w:sz w:val="24"/>
                <w:szCs w:val="24"/>
                <w:lang w:eastAsia="ru-RU"/>
              </w:rPr>
            </w:pPr>
          </w:p>
        </w:tc>
      </w:tr>
    </w:tbl>
    <w:p>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br w:type="page"/>
      </w:r>
    </w:p>
    <w:p>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iCs/>
          <w:sz w:val="24"/>
          <w:szCs w:val="24"/>
          <w:lang w:eastAsia="ru-RU"/>
        </w:rPr>
        <w:lastRenderedPageBreak/>
        <w:t xml:space="preserve">Таблица 47.2. </w:t>
      </w: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bl>
      <w:tblPr>
        <w:tblStyle w:val="2a"/>
        <w:tblW w:w="15026" w:type="dxa"/>
        <w:tblInd w:w="-289" w:type="dxa"/>
        <w:tblLook w:val="04A0" w:firstRow="1" w:lastRow="0" w:firstColumn="1" w:lastColumn="0" w:noHBand="0" w:noVBand="1"/>
      </w:tblPr>
      <w:tblGrid>
        <w:gridCol w:w="817"/>
        <w:gridCol w:w="2103"/>
        <w:gridCol w:w="1435"/>
        <w:gridCol w:w="1435"/>
        <w:gridCol w:w="2031"/>
        <w:gridCol w:w="1435"/>
        <w:gridCol w:w="1435"/>
        <w:gridCol w:w="1443"/>
        <w:gridCol w:w="1435"/>
        <w:gridCol w:w="1457"/>
      </w:tblGrid>
      <w:tr>
        <w:tc>
          <w:tcPr>
            <w:tcW w:w="817"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Код</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2103" w:type="dxa"/>
            <w:vMerge w:val="restart"/>
          </w:tcPr>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Наименование </w:t>
            </w:r>
          </w:p>
          <w:p>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ВРИ</w:t>
            </w:r>
          </w:p>
        </w:tc>
        <w:tc>
          <w:tcPr>
            <w:tcW w:w="12106" w:type="dxa"/>
            <w:gridSpan w:val="8"/>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tc>
      </w:tr>
      <w:t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2870" w:type="dxa"/>
            <w:gridSpan w:val="2"/>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Предельные (минимальные и (или) максимальные) размеры земельных участков, в том числе их площадь</w:t>
            </w:r>
          </w:p>
        </w:tc>
        <w:tc>
          <w:tcPr>
            <w:tcW w:w="2031" w:type="dxa"/>
            <w:vMerge w:val="restart"/>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4313" w:type="dxa"/>
            <w:gridSpan w:val="3"/>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Предельное количество этажей или предельная высота зданий, строений, сооружений</w:t>
            </w:r>
          </w:p>
        </w:tc>
        <w:tc>
          <w:tcPr>
            <w:tcW w:w="1435"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w:t>
            </w:r>
          </w:p>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Застройки, %</w:t>
            </w:r>
          </w:p>
        </w:tc>
        <w:tc>
          <w:tcPr>
            <w:tcW w:w="1457" w:type="dxa"/>
            <w:vMerge w:val="restart"/>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Иные показатели</w:t>
            </w:r>
          </w:p>
        </w:tc>
      </w:tr>
      <w:tr>
        <w:trPr>
          <w:trHeight w:val="2064"/>
        </w:trPr>
        <w:tc>
          <w:tcPr>
            <w:tcW w:w="817" w:type="dxa"/>
            <w:vMerge/>
          </w:tcPr>
          <w:p>
            <w:pPr>
              <w:rPr>
                <w:rFonts w:ascii="Times New Roman" w:eastAsia="Times New Roman" w:hAnsi="Times New Roman" w:cs="Times New Roman"/>
                <w:sz w:val="24"/>
                <w:szCs w:val="24"/>
                <w:lang w:eastAsia="ru-RU"/>
              </w:rPr>
            </w:pPr>
          </w:p>
        </w:tc>
        <w:tc>
          <w:tcPr>
            <w:tcW w:w="2103"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S min,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S max, (</w:t>
            </w:r>
            <w:r>
              <w:rPr>
                <w:rFonts w:ascii="Times New Roman" w:eastAsia="Times New Roman" w:hAnsi="Times New Roman" w:cs="Times New Roman"/>
                <w:sz w:val="20"/>
                <w:szCs w:val="20"/>
                <w:lang w:eastAsia="ru-RU"/>
              </w:rPr>
              <w:t>га</w:t>
            </w:r>
            <w:r>
              <w:rPr>
                <w:rFonts w:ascii="Times New Roman" w:eastAsia="Times New Roman" w:hAnsi="Times New Roman" w:cs="Times New Roman"/>
                <w:sz w:val="20"/>
                <w:szCs w:val="20"/>
                <w:lang w:val="en-US" w:eastAsia="ru-RU"/>
              </w:rPr>
              <w:t>)</w:t>
            </w:r>
          </w:p>
        </w:tc>
        <w:tc>
          <w:tcPr>
            <w:tcW w:w="2031" w:type="dxa"/>
            <w:vMerge/>
          </w:tcPr>
          <w:p>
            <w:pPr>
              <w:rPr>
                <w:rFonts w:ascii="Times New Roman" w:eastAsia="Times New Roman" w:hAnsi="Times New Roman" w:cs="Times New Roman"/>
                <w:sz w:val="24"/>
                <w:szCs w:val="24"/>
                <w:lang w:eastAsia="ru-RU"/>
              </w:rPr>
            </w:pP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min</w:t>
            </w:r>
            <w:r>
              <w:rPr>
                <w:rFonts w:ascii="Times New Roman" w:eastAsia="Times New Roman" w:hAnsi="Times New Roman" w:cs="Times New Roman"/>
                <w:sz w:val="20"/>
                <w:szCs w:val="20"/>
                <w:lang w:eastAsia="ru-RU"/>
              </w:rPr>
              <w:t>, (ед.)</w:t>
            </w:r>
          </w:p>
        </w:tc>
        <w:tc>
          <w:tcPr>
            <w:tcW w:w="1435" w:type="dxa"/>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Этаж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(ед.)</w:t>
            </w:r>
          </w:p>
        </w:tc>
        <w:tc>
          <w:tcPr>
            <w:tcW w:w="1443" w:type="dxa"/>
          </w:tcPr>
          <w:p>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 xml:space="preserve">Высота </w:t>
            </w:r>
            <w:r>
              <w:rPr>
                <w:rFonts w:ascii="Times New Roman" w:eastAsia="Times New Roman" w:hAnsi="Times New Roman" w:cs="Times New Roman"/>
                <w:sz w:val="20"/>
                <w:szCs w:val="20"/>
                <w:lang w:val="en-US" w:eastAsia="ru-RU"/>
              </w:rPr>
              <w:t>max</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w:t>
            </w:r>
            <w:r>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val="en-US" w:eastAsia="ru-RU"/>
              </w:rPr>
              <w:t>)</w:t>
            </w:r>
          </w:p>
        </w:tc>
        <w:tc>
          <w:tcPr>
            <w:tcW w:w="1435" w:type="dxa"/>
            <w:vMerge/>
          </w:tcPr>
          <w:p>
            <w:pPr>
              <w:rPr>
                <w:rFonts w:ascii="Times New Roman" w:eastAsia="Times New Roman" w:hAnsi="Times New Roman" w:cs="Times New Roman"/>
                <w:sz w:val="24"/>
                <w:szCs w:val="24"/>
                <w:lang w:eastAsia="ru-RU"/>
              </w:rPr>
            </w:pPr>
          </w:p>
        </w:tc>
        <w:tc>
          <w:tcPr>
            <w:tcW w:w="1457" w:type="dxa"/>
            <w:vMerge/>
          </w:tcPr>
          <w:p>
            <w:pPr>
              <w:rPr>
                <w:rFonts w:ascii="Times New Roman" w:eastAsia="Times New Roman" w:hAnsi="Times New Roman" w:cs="Times New Roman"/>
                <w:sz w:val="24"/>
                <w:szCs w:val="24"/>
                <w:lang w:eastAsia="ru-RU"/>
              </w:rPr>
            </w:pP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Основные виды разрешенного использования</w:t>
            </w:r>
          </w:p>
        </w:tc>
      </w:tr>
      <w:tr>
        <w:tc>
          <w:tcPr>
            <w:tcW w:w="817" w:type="dxa"/>
          </w:tcPr>
          <w:p>
            <w:pPr>
              <w:widowControl w:val="0"/>
              <w:tabs>
                <w:tab w:val="left" w:pos="540"/>
                <w:tab w:val="num" w:pos="720"/>
                <w:tab w:val="left" w:pos="900"/>
                <w:tab w:val="left" w:pos="1080"/>
                <w:tab w:val="left" w:pos="1260"/>
              </w:tabs>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3.9.1</w:t>
            </w:r>
          </w:p>
        </w:tc>
        <w:tc>
          <w:tcPr>
            <w:tcW w:w="2103" w:type="dxa"/>
          </w:tcPr>
          <w:p>
            <w:pPr>
              <w:widowControl w:val="0"/>
              <w:autoSpaceDE w:val="0"/>
              <w:autoSpaceDN w:val="0"/>
              <w:adjustRightInd w:val="0"/>
              <w:rPr>
                <w:rFonts w:ascii="Times New Roman" w:eastAsia="Calibri" w:hAnsi="Times New Roman" w:cs="Times New Roman"/>
                <w:b/>
                <w:iCs/>
                <w:sz w:val="20"/>
                <w:szCs w:val="20"/>
              </w:rPr>
            </w:pPr>
            <w:r>
              <w:rPr>
                <w:rFonts w:ascii="Times New Roman" w:eastAsia="Times New Roman" w:hAnsi="Times New Roman" w:cs="Times New Roman"/>
                <w:sz w:val="20"/>
                <w:szCs w:val="20"/>
                <w:lang w:eastAsia="ru-RU"/>
              </w:rPr>
              <w:t>Обеспечение деятельности в области гидрометеорологии и смежных с ней областях</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2031"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Минимальный отступ от красной линии улиц до границ земельного участка – 3м.</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43"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35"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c>
          <w:tcPr>
            <w:tcW w:w="1457" w:type="dxa"/>
          </w:tcPr>
          <w:p>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 подлежат установлению</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Условно разрешенные виды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r>
        <w:tc>
          <w:tcPr>
            <w:tcW w:w="15026" w:type="dxa"/>
            <w:gridSpan w:val="10"/>
          </w:tcPr>
          <w:p>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iCs/>
                <w:sz w:val="24"/>
                <w:szCs w:val="24"/>
                <w:lang w:eastAsia="ru-RU"/>
              </w:rPr>
              <w:t>Вспомогательные</w:t>
            </w:r>
            <w:r>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b/>
                <w:iCs/>
                <w:sz w:val="24"/>
                <w:szCs w:val="24"/>
                <w:lang w:eastAsia="ru-RU"/>
              </w:rPr>
              <w:t>виды разрешенного использования</w:t>
            </w:r>
          </w:p>
        </w:tc>
      </w:tr>
      <w:tr>
        <w:tc>
          <w:tcPr>
            <w:tcW w:w="15026" w:type="dxa"/>
            <w:gridSpan w:val="10"/>
          </w:tcPr>
          <w:p>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iCs/>
                <w:sz w:val="24"/>
                <w:szCs w:val="24"/>
                <w:lang w:eastAsia="ru-RU"/>
              </w:rPr>
              <w:t>Не установлены</w:t>
            </w:r>
          </w:p>
        </w:tc>
      </w:tr>
    </w:tbl>
    <w:p>
      <w:pPr>
        <w:pStyle w:val="3"/>
        <w:rPr>
          <w:rFonts w:eastAsia="Times New Roman"/>
          <w:lang w:eastAsia="ru-RU"/>
        </w:rPr>
      </w:pPr>
      <w:bookmarkStart w:id="240" w:name="_Toc80780366"/>
      <w:bookmarkStart w:id="241" w:name="_Toc99015385"/>
      <w:r>
        <w:rPr>
          <w:rFonts w:eastAsia="Times New Roman"/>
          <w:lang w:eastAsia="ru-RU"/>
        </w:rPr>
        <w:t>Статья 42. ТОП. Территория общего пользования (зона природного ландшафта)</w:t>
      </w:r>
      <w:bookmarkEnd w:id="240"/>
      <w:bookmarkEnd w:id="241"/>
    </w:p>
    <w:p>
      <w:pPr>
        <w:spacing w:after="0" w:line="240" w:lineRule="auto"/>
        <w:rPr>
          <w:rFonts w:ascii="Times New Roman" w:eastAsia="Times New Roman" w:hAnsi="Times New Roman" w:cs="Times New Roman"/>
          <w:sz w:val="24"/>
          <w:szCs w:val="24"/>
          <w:lang w:eastAsia="ru-RU"/>
        </w:rPr>
      </w:pPr>
    </w:p>
    <w:p>
      <w:pPr>
        <w:spacing w:after="0" w:line="240" w:lineRule="auto"/>
        <w:ind w:firstLine="720"/>
        <w:jc w:val="both"/>
        <w:rPr>
          <w:rFonts w:ascii="Times New Roman" w:eastAsia="Times New Roman" w:hAnsi="Times New Roman" w:cs="Times New Roman"/>
          <w:iCs/>
          <w:sz w:val="26"/>
          <w:szCs w:val="26"/>
          <w:lang w:eastAsia="ru-RU"/>
        </w:rPr>
        <w:sectPr>
          <w:pgSz w:w="16838" w:h="11906" w:orient="landscape"/>
          <w:pgMar w:top="1701" w:right="1134" w:bottom="850" w:left="1134" w:header="708" w:footer="708" w:gutter="0"/>
          <w:cols w:space="708"/>
          <w:docGrid w:linePitch="360"/>
        </w:sectPr>
      </w:pPr>
      <w:r>
        <w:rPr>
          <w:rFonts w:ascii="Times New Roman" w:eastAsia="Times New Roman" w:hAnsi="Times New Roman" w:cs="Times New Roman"/>
          <w:iCs/>
          <w:sz w:val="26"/>
          <w:szCs w:val="26"/>
          <w:lang w:eastAsia="ru-RU"/>
        </w:rPr>
        <w:t>На земельные участки в границах территорий общего пользования – зона природного ландшафта (12.3) – действие градостроительного регламента не распространяется в связи с отсутствием на территории хозяйственной деятельности.</w:t>
      </w:r>
    </w:p>
    <w:p>
      <w:pPr>
        <w:spacing w:after="0" w:line="240" w:lineRule="auto"/>
        <w:ind w:firstLine="720"/>
        <w:jc w:val="both"/>
        <w:rPr>
          <w:rFonts w:ascii="Times New Roman" w:eastAsia="Times New Roman" w:hAnsi="Times New Roman" w:cs="Times New Roman"/>
          <w:iCs/>
          <w:sz w:val="26"/>
          <w:szCs w:val="26"/>
          <w:lang w:eastAsia="ru-RU"/>
        </w:rPr>
      </w:pP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 xml:space="preserve">Зона предназначена для поддержания баланса открытых и застроенных пространств при использовании территорий. Территория зоны или ее части может быть при необходимости переведена в иные территориальные зоны при соблюдении процедур внесения изменений в Правила землепользования и застройки. </w:t>
      </w:r>
    </w:p>
    <w:p>
      <w:pPr>
        <w:spacing w:after="0" w:line="240" w:lineRule="auto"/>
        <w:ind w:firstLine="720"/>
        <w:jc w:val="both"/>
        <w:rPr>
          <w:rFonts w:ascii="Times New Roman" w:eastAsia="Times New Roman" w:hAnsi="Times New Roman" w:cs="Times New Roman"/>
          <w:iCs/>
          <w:sz w:val="26"/>
          <w:szCs w:val="26"/>
          <w:lang w:eastAsia="ru-RU"/>
        </w:rPr>
      </w:pPr>
      <w:r>
        <w:rPr>
          <w:rFonts w:ascii="Times New Roman" w:eastAsia="Times New Roman" w:hAnsi="Times New Roman" w:cs="Times New Roman"/>
          <w:iCs/>
          <w:sz w:val="26"/>
          <w:szCs w:val="26"/>
          <w:lang w:eastAsia="ru-RU"/>
        </w:rPr>
        <w:t>Последующее использование территории зоны или ее частей может быть определено при условии недопущения ухудшения условий проживания и состояния окружающей среды. Изменение назначения зоны или ее частей не должно вступать в противоречие с режимом использования территории прилегающих зон.</w:t>
      </w:r>
    </w:p>
    <w:p>
      <w:pPr>
        <w:spacing w:after="0" w:line="240" w:lineRule="auto"/>
        <w:ind w:firstLine="720"/>
        <w:jc w:val="both"/>
        <w:rPr>
          <w:rFonts w:ascii="Times New Roman" w:eastAsia="Times New Roman" w:hAnsi="Times New Roman" w:cs="Arial"/>
          <w:iCs/>
          <w:sz w:val="28"/>
          <w:szCs w:val="28"/>
          <w:lang w:eastAsia="ru-RU"/>
        </w:rPr>
      </w:pPr>
      <w:r>
        <w:rPr>
          <w:rFonts w:ascii="Times New Roman" w:eastAsia="Times New Roman" w:hAnsi="Times New Roman" w:cs="Times New Roman"/>
          <w:iCs/>
          <w:sz w:val="26"/>
          <w:szCs w:val="26"/>
          <w:lang w:eastAsia="ru-RU"/>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r>
        <w:rPr>
          <w:rFonts w:ascii="Times New Roman" w:eastAsia="Times New Roman" w:hAnsi="Times New Roman" w:cs="Times New Roman"/>
          <w:sz w:val="26"/>
          <w:szCs w:val="26"/>
          <w:lang w:eastAsia="ru-RU"/>
        </w:rPr>
        <w:t xml:space="preserve"> </w:t>
      </w: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pPr>
    </w:p>
    <w:p>
      <w:pPr>
        <w:autoSpaceDE w:val="0"/>
        <w:autoSpaceDN w:val="0"/>
        <w:adjustRightInd w:val="0"/>
        <w:spacing w:after="0" w:line="250" w:lineRule="auto"/>
        <w:ind w:firstLine="720"/>
        <w:jc w:val="both"/>
        <w:rPr>
          <w:rFonts w:ascii="Times New Roman" w:eastAsia="Times New Roman" w:hAnsi="Times New Roman" w:cs="Arial"/>
          <w:iCs/>
          <w:sz w:val="28"/>
          <w:szCs w:val="28"/>
          <w:lang w:eastAsia="ru-RU"/>
        </w:rPr>
        <w:sectPr>
          <w:pgSz w:w="11906" w:h="16838"/>
          <w:pgMar w:top="1134" w:right="850" w:bottom="1134" w:left="1701" w:header="708" w:footer="708" w:gutter="0"/>
          <w:cols w:space="708"/>
          <w:docGrid w:linePitch="360"/>
        </w:sectPr>
      </w:pPr>
    </w:p>
    <w:p>
      <w:pPr>
        <w:pStyle w:val="2"/>
      </w:pPr>
      <w:bookmarkStart w:id="242" w:name="_Toc504495091"/>
      <w:bookmarkStart w:id="243" w:name="_Toc36136992"/>
      <w:bookmarkStart w:id="244" w:name="_Toc80780367"/>
      <w:bookmarkStart w:id="245" w:name="_Toc99015386"/>
      <w:r>
        <w:lastRenderedPageBreak/>
        <w:t>ГЛАВА 8. Регулирование землепользования и застройки в зонах с особыми условиями использования территорий</w:t>
      </w:r>
      <w:bookmarkEnd w:id="242"/>
      <w:bookmarkEnd w:id="243"/>
      <w:bookmarkEnd w:id="244"/>
      <w:bookmarkEnd w:id="245"/>
    </w:p>
    <w:p>
      <w:pPr>
        <w:pStyle w:val="3"/>
        <w:rPr>
          <w:rFonts w:eastAsia="Times New Roman"/>
          <w:lang w:eastAsia="ru-RU"/>
        </w:rPr>
      </w:pPr>
      <w:bookmarkStart w:id="246" w:name="_Toc504495093"/>
      <w:bookmarkStart w:id="247" w:name="_Toc36136993"/>
      <w:bookmarkStart w:id="248" w:name="_Toc80780368"/>
      <w:bookmarkStart w:id="249" w:name="_Toc99015387"/>
      <w:r>
        <w:rPr>
          <w:rFonts w:eastAsia="Times New Roman"/>
          <w:lang w:eastAsia="ru-RU"/>
        </w:rPr>
        <w:t>Статья 43. Состав зон с особыми условиями использования территорий (ограничений градостроительной деятельности)</w:t>
      </w:r>
      <w:bookmarkEnd w:id="246"/>
      <w:bookmarkEnd w:id="247"/>
      <w:bookmarkEnd w:id="248"/>
      <w:bookmarkEnd w:id="249"/>
    </w:p>
    <w:p>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территории городского округа г. Анадырь действуют следующие факторы ограничения и регулирования объектов капитального строительства, создающие особые условия использования территории:</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водоохранные, рыбоохранные зоны, прибрежные защитные полосы;</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береговые полосы водных объектов общего пользования;</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зона санитарной охраны источников водоснабжения и водопроводов питьевого назначения;</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охранная зона водопроводных сооружений;</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территории подтоплений (затоплений), в том числе формируемые штормом, </w:t>
      </w:r>
    </w:p>
    <w:p>
      <w:pPr>
        <w:tabs>
          <w:tab w:val="left" w:pos="1080"/>
        </w:tabs>
        <w:suppressAutoHyphens/>
        <w:spacing w:after="0" w:line="240" w:lineRule="auto"/>
        <w:ind w:left="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      подтоплением грунтовыми водами;</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охранная зона объектов электросетевого хозяйства;</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охранная зона гидрометеорологической станции;</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санитарно-защитная зона производственных и коммунальных объектов;</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охранные зоны трубопроводов.</w:t>
      </w:r>
    </w:p>
    <w:p>
      <w:pPr>
        <w:pStyle w:val="3"/>
        <w:rPr>
          <w:rFonts w:eastAsia="Times New Roman"/>
          <w:lang w:eastAsia="ru-RU"/>
        </w:rPr>
      </w:pPr>
      <w:bookmarkStart w:id="250" w:name="_Toc421027379"/>
      <w:bookmarkStart w:id="251" w:name="_Toc504495100"/>
      <w:bookmarkStart w:id="252" w:name="_Toc36137000"/>
      <w:bookmarkStart w:id="253" w:name="_Toc80780369"/>
      <w:bookmarkStart w:id="254" w:name="_Toc99015388"/>
      <w:r>
        <w:rPr>
          <w:rFonts w:eastAsia="Times New Roman"/>
          <w:lang w:eastAsia="ru-RU"/>
        </w:rPr>
        <w:t>Статья 44. Ограничения использования земельных участков и объектов капитального строительства на территории в границах водоохранных и рыбоохранных зон, прибрежных защитных полос</w:t>
      </w:r>
      <w:bookmarkEnd w:id="250"/>
      <w:r>
        <w:rPr>
          <w:rFonts w:eastAsia="Times New Roman"/>
          <w:lang w:eastAsia="ru-RU"/>
        </w:rPr>
        <w:t xml:space="preserve"> водных объектов</w:t>
      </w:r>
      <w:bookmarkEnd w:id="251"/>
      <w:bookmarkEnd w:id="252"/>
      <w:bookmarkEnd w:id="253"/>
      <w:bookmarkEnd w:id="254"/>
    </w:p>
    <w:p>
      <w:pPr>
        <w:numPr>
          <w:ilvl w:val="0"/>
          <w:numId w:val="19"/>
        </w:numPr>
        <w:tabs>
          <w:tab w:val="clear" w:pos="1069"/>
          <w:tab w:val="num" w:pos="0"/>
          <w:tab w:val="left" w:pos="1080"/>
        </w:tabs>
        <w:spacing w:after="0" w:line="240" w:lineRule="auto"/>
        <w:ind w:left="0"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Ограничения использования земельных участков и объектов капитального строительства на территории водоохранных и рыбоохранных зон, прибрежных защитных полос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pPr>
        <w:numPr>
          <w:ilvl w:val="0"/>
          <w:numId w:val="19"/>
        </w:numPr>
        <w:tabs>
          <w:tab w:val="clear" w:pos="1069"/>
          <w:tab w:val="num" w:pos="0"/>
          <w:tab w:val="left" w:pos="1080"/>
        </w:tabs>
        <w:spacing w:after="0" w:line="240" w:lineRule="auto"/>
        <w:ind w:left="0" w:firstLine="709"/>
        <w:jc w:val="both"/>
        <w:rPr>
          <w:rFonts w:ascii="Times New Roman" w:eastAsia="Times New Roman" w:hAnsi="Times New Roman" w:cs="Times New Roman"/>
          <w:sz w:val="26"/>
          <w:szCs w:val="26"/>
          <w:lang w:eastAsia="ru-RU"/>
        </w:rPr>
      </w:pPr>
      <w:r>
        <w:rPr>
          <w:rFonts w:ascii="Times New Roman" w:eastAsia="Times New Roman" w:hAnsi="Times New Roman" w:cs="Arial"/>
          <w:sz w:val="26"/>
          <w:szCs w:val="26"/>
          <w:lang w:eastAsia="ru-RU"/>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Водный кодекс Российской Федерации от 03.06.2006 №74-ФЗ,</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Федеральный закон от 20 декабря 2004 № 166-ФЗ «О рыболовстве и сохранении водных биологических ресурсов» Постановление Правительства РФ от 6 октября 2008 № 743 «Об утверждении Правил установления рыбоохранных зон»</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СП 42.13330.2016. Свод правил (Градостроительство. Планировка и застройка городских и сельских поселений), </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СанПиН 2.1.5.980-00 (Гигиенические требования к охране поверхностных вод) </w:t>
      </w:r>
    </w:p>
    <w:p>
      <w:pPr>
        <w:numPr>
          <w:ilvl w:val="0"/>
          <w:numId w:val="19"/>
        </w:numPr>
        <w:tabs>
          <w:tab w:val="clear" w:pos="1069"/>
          <w:tab w:val="num" w:pos="0"/>
          <w:tab w:val="left" w:pos="1080"/>
        </w:tabs>
        <w:spacing w:after="0" w:line="240" w:lineRule="auto"/>
        <w:ind w:left="0" w:firstLine="709"/>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 xml:space="preserve"> В соответствии с Водным кодексом Российской Федерации на территории водоохранных зон запрещается:</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  использование сточных вод в целях регулирования плодородия почв;</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 осуществление авиационных мер по борьбе с вредными организмами;</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 размещение специализированных хранилищ пестицидов и агрохимикатов, применение пестицидов и агрохимикатов;</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7) сброс сточных, в том числе дренажных, вод;</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19_1 Закона Российской Федерации от 21 февраля 1992 года N 2395-I "О недрах").</w:t>
      </w:r>
    </w:p>
    <w:p>
      <w:pPr>
        <w:numPr>
          <w:ilvl w:val="0"/>
          <w:numId w:val="19"/>
        </w:numPr>
        <w:tabs>
          <w:tab w:val="clear" w:pos="1069"/>
          <w:tab w:val="num" w:pos="0"/>
          <w:tab w:val="left" w:pos="1080"/>
        </w:tabs>
        <w:spacing w:after="0" w:line="240" w:lineRule="auto"/>
        <w:ind w:left="0" w:firstLine="709"/>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 централизованные системы водоотведения (канализации), централизованные ливневые системы водоотведения;</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w:t>
      </w:r>
      <w:r>
        <w:rPr>
          <w:rFonts w:ascii="Times New Roman" w:eastAsia="Times New Roman" w:hAnsi="Times New Roman" w:cs="Times New Roman"/>
          <w:color w:val="000000"/>
          <w:sz w:val="26"/>
          <w:szCs w:val="26"/>
          <w:lang w:eastAsia="ru-RU"/>
        </w:rPr>
        <w:lastRenderedPageBreak/>
        <w:t>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pPr>
        <w:numPr>
          <w:ilvl w:val="0"/>
          <w:numId w:val="19"/>
        </w:numPr>
        <w:tabs>
          <w:tab w:val="clear" w:pos="1069"/>
          <w:tab w:val="num" w:pos="0"/>
          <w:tab w:val="left" w:pos="1080"/>
        </w:tabs>
        <w:spacing w:after="0" w:line="240" w:lineRule="auto"/>
        <w:ind w:left="0" w:firstLine="709"/>
        <w:jc w:val="both"/>
        <w:rPr>
          <w:rFonts w:ascii="Times New Roman" w:eastAsia="Times New Roman" w:hAnsi="Times New Roman" w:cs="Arial"/>
          <w:sz w:val="26"/>
          <w:szCs w:val="26"/>
          <w:lang w:eastAsia="ru-RU"/>
        </w:rPr>
      </w:pPr>
      <w:r>
        <w:rPr>
          <w:rFonts w:ascii="Times New Roman" w:eastAsia="Times New Roman" w:hAnsi="Times New Roman" w:cs="Arial"/>
          <w:sz w:val="26"/>
          <w:szCs w:val="26"/>
          <w:lang w:eastAsia="ru-RU"/>
        </w:rPr>
        <w:t>В границах прибрежных защитных полос, наряду с перечисленными в части 4 настоящей статьи ограничениями, запрещается:</w:t>
      </w:r>
    </w:p>
    <w:p>
      <w:pPr>
        <w:tabs>
          <w:tab w:val="num" w:pos="0"/>
          <w:tab w:val="left" w:pos="1260"/>
        </w:tabs>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 распашка земель;</w:t>
      </w:r>
    </w:p>
    <w:p>
      <w:pPr>
        <w:tabs>
          <w:tab w:val="num" w:pos="0"/>
          <w:tab w:val="left" w:pos="1260"/>
        </w:tabs>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 размещение отвалов размываемых грунтов;</w:t>
      </w:r>
    </w:p>
    <w:p>
      <w:pPr>
        <w:tabs>
          <w:tab w:val="num" w:pos="0"/>
          <w:tab w:val="left" w:pos="1260"/>
        </w:tabs>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выпас сельскохозяйственных животных и организация для них летних лагерей, ванн.</w:t>
      </w:r>
    </w:p>
    <w:p>
      <w:pPr>
        <w:pStyle w:val="3"/>
        <w:rPr>
          <w:rFonts w:eastAsia="Times New Roman"/>
          <w:lang w:eastAsia="ru-RU"/>
        </w:rPr>
      </w:pPr>
      <w:bookmarkStart w:id="255" w:name="_Toc501650291"/>
      <w:bookmarkStart w:id="256" w:name="_Toc504495101"/>
      <w:bookmarkStart w:id="257" w:name="_Toc36137001"/>
      <w:bookmarkStart w:id="258" w:name="_Toc80780370"/>
      <w:bookmarkStart w:id="259" w:name="_Toc99015389"/>
      <w:r>
        <w:rPr>
          <w:rFonts w:eastAsia="Times New Roman"/>
          <w:lang w:eastAsia="ru-RU"/>
        </w:rPr>
        <w:t>Статья 45. Ограничения использования земельных участков и объектов капитального строительства на территории береговой полосы водных объектов общего пользования</w:t>
      </w:r>
      <w:bookmarkEnd w:id="255"/>
      <w:bookmarkEnd w:id="256"/>
      <w:bookmarkEnd w:id="257"/>
      <w:bookmarkEnd w:id="258"/>
      <w:bookmarkEnd w:id="259"/>
    </w:p>
    <w:p>
      <w:pPr>
        <w:widowControl w:val="0"/>
        <w:autoSpaceDE w:val="0"/>
        <w:autoSpaceDN w:val="0"/>
        <w:adjustRightInd w:val="0"/>
        <w:spacing w:after="0" w:line="240" w:lineRule="auto"/>
        <w:ind w:firstLine="708"/>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Согласно статье 6 Водного кодекса Российской Федерации от 03.06.2006 № 74-ФЗ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pPr>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sz w:val="26"/>
          <w:szCs w:val="26"/>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r>
        <w:rPr>
          <w:rFonts w:ascii="Times New Roman" w:eastAsia="Times New Roman" w:hAnsi="Times New Roman" w:cs="Times New Roman"/>
          <w:color w:val="000000"/>
          <w:sz w:val="26"/>
          <w:szCs w:val="26"/>
          <w:lang w:eastAsia="ru-RU"/>
        </w:rPr>
        <w:t xml:space="preserve"> </w:t>
      </w:r>
    </w:p>
    <w:p>
      <w:pPr>
        <w:spacing w:after="0" w:line="240" w:lineRule="auto"/>
        <w:ind w:firstLine="720"/>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В соответствии со статьей 10 Кодекса внутреннего водного транспорта Российской Федерации от 07.03.2001 № 24-ФЗ предоставление земельных участков, расположенных в пределах береговой полосы, и выделение участков акватории внутренних водных путей, строительство на них каких-либо зданий, строений и сооружений осуществляются в порядке, установленном земельным законодательством Российской Федерации и водным законодательством Российской Федерации, по согласованию с администрациями бассейнов внутренних водных путей.</w:t>
      </w:r>
    </w:p>
    <w:p>
      <w:pPr>
        <w:tabs>
          <w:tab w:val="left" w:pos="1080"/>
        </w:tabs>
        <w:suppressAutoHyphens/>
        <w:spacing w:after="0" w:line="240" w:lineRule="auto"/>
        <w:ind w:firstLine="709"/>
        <w:jc w:val="both"/>
        <w:rPr>
          <w:rFonts w:ascii="Times New Roman" w:eastAsia="MS Mincho" w:hAnsi="Times New Roman" w:cs="Times New Roman"/>
          <w:sz w:val="24"/>
          <w:szCs w:val="24"/>
          <w:lang w:eastAsia="ar-SA"/>
        </w:rPr>
      </w:pPr>
    </w:p>
    <w:p>
      <w:pPr>
        <w:pStyle w:val="3"/>
        <w:rPr>
          <w:rFonts w:eastAsia="Times New Roman"/>
          <w:lang w:eastAsia="ru-RU"/>
        </w:rPr>
      </w:pPr>
      <w:bookmarkStart w:id="260" w:name="_Toc504495097"/>
      <w:bookmarkStart w:id="261" w:name="_Toc36136997"/>
      <w:bookmarkStart w:id="262" w:name="_Toc80780371"/>
      <w:bookmarkStart w:id="263" w:name="_Toc99015390"/>
      <w:r>
        <w:rPr>
          <w:rFonts w:eastAsia="Times New Roman"/>
          <w:lang w:eastAsia="ru-RU"/>
        </w:rPr>
        <w:lastRenderedPageBreak/>
        <w:t>Статья 46. Ограничения использования земельных участков и объектов капитального строительства на территории в границах зон санитарной охраны источников питьевого водоснабжения</w:t>
      </w:r>
      <w:bookmarkEnd w:id="260"/>
      <w:bookmarkEnd w:id="261"/>
      <w:bookmarkEnd w:id="262"/>
      <w:bookmarkEnd w:id="263"/>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Зоны санитарной охраны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u w:val="single"/>
          <w:lang w:eastAsia="ar-SA"/>
        </w:rPr>
        <w:t>Первый пояс (строгого режима)</w:t>
      </w:r>
      <w:r>
        <w:rPr>
          <w:rFonts w:ascii="Times New Roman" w:eastAsia="MS Mincho" w:hAnsi="Times New Roman" w:cs="Times New Roman"/>
          <w:sz w:val="26"/>
          <w:szCs w:val="26"/>
          <w:lang w:eastAsia="ar-SA"/>
        </w:rPr>
        <w:t xml:space="preserve">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Санитарные мероприятия должны выполняться органами коммунального хозяйства или другими владельцами водопроводов. Целью мероприятий является сохранение постоянства природного состава воды в водозаборе путем устранения и предупреждения возможности ее загрязнения.</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заинтересованных организаций.</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u w:val="single"/>
          <w:lang w:eastAsia="ar-SA"/>
        </w:rPr>
        <w:t>Второй пояс (пояс ограничений)</w:t>
      </w:r>
      <w:r>
        <w:rPr>
          <w:rFonts w:ascii="Times New Roman" w:eastAsia="MS Mincho" w:hAnsi="Times New Roman" w:cs="Times New Roman"/>
          <w:sz w:val="26"/>
          <w:szCs w:val="26"/>
          <w:lang w:eastAsia="ar-SA"/>
        </w:rPr>
        <w:t xml:space="preserve"> включают территорию, предназначенную для предупреждения загрязнения воды источников водоснабжения. Санитарные мероприятия должны выполняться владельцами объектов, оказывающих (или могущих оказать) отрицательное влияние на качество воды источников водоснабжения. Целью мероприятий является максимальное снижение микробного и химического загрязнения воды источников водоснабжения, позволяющее при современной технологии обработки обеспечивать получение воды питьевого качества.</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Определение границ второго пояса ЗСО подземных источников водоснабжения для различных гидрогеологических условий проводится в соответствии с методиками гидрогеологических расчетов. </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заинтересованных организаций.</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u w:val="single"/>
          <w:lang w:eastAsia="ar-SA"/>
        </w:rPr>
        <w:t>Третий пояс (пояс ограничений)</w:t>
      </w:r>
      <w:r>
        <w:rPr>
          <w:rFonts w:ascii="Times New Roman" w:eastAsia="MS Mincho" w:hAnsi="Times New Roman" w:cs="Times New Roman"/>
          <w:sz w:val="26"/>
          <w:szCs w:val="26"/>
          <w:lang w:eastAsia="ar-SA"/>
        </w:rPr>
        <w:t xml:space="preserve"> включают территорию, предназначенную для предупреждения загрязнения воды источников водоснабжения. Санитарные мероприятия должны выполняться владельцами объектов, оказывающих (или могущих оказать) отрицательное влияние на качество воды источников водоснабжения</w:t>
      </w:r>
      <w:r>
        <w:rPr>
          <w:rFonts w:ascii="Times New Roman" w:eastAsia="MS Mincho" w:hAnsi="Times New Roman" w:cs="Times New Roman"/>
          <w:color w:val="FF0000"/>
          <w:sz w:val="26"/>
          <w:szCs w:val="26"/>
          <w:lang w:eastAsia="ar-SA"/>
        </w:rPr>
        <w:t xml:space="preserve">. </w:t>
      </w:r>
      <w:r>
        <w:rPr>
          <w:rFonts w:ascii="Times New Roman" w:eastAsia="MS Mincho" w:hAnsi="Times New Roman" w:cs="Times New Roman"/>
          <w:sz w:val="26"/>
          <w:szCs w:val="26"/>
          <w:lang w:eastAsia="ar-SA"/>
        </w:rPr>
        <w:t>Целью мероприятий является максимальное снижение микробного и химического загрязнения воды источников водоснабжения, позволяющее при современной технологии обработки обеспечивать получение воды питьевого качества.</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lastRenderedPageBreak/>
        <w:t>Определение границ третьего пояса ЗСО подземных источников водоснабжения для различных гидрогеологических условий проводится в соответствии с методиками гидрогеологических расчетов.</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заинтересованных организаций.</w:t>
      </w:r>
    </w:p>
    <w:p>
      <w:pPr>
        <w:pStyle w:val="3"/>
        <w:rPr>
          <w:rFonts w:eastAsia="Times New Roman"/>
          <w:lang w:eastAsia="ru-RU"/>
        </w:rPr>
      </w:pPr>
      <w:bookmarkStart w:id="264" w:name="_Toc261613855"/>
      <w:bookmarkStart w:id="265" w:name="_Toc312843991"/>
      <w:bookmarkStart w:id="266" w:name="_Toc325110520"/>
      <w:bookmarkStart w:id="267" w:name="_Toc352587252"/>
      <w:bookmarkStart w:id="268" w:name="_Toc421027380"/>
      <w:bookmarkStart w:id="269" w:name="_Toc504495096"/>
      <w:bookmarkStart w:id="270" w:name="_Toc36136996"/>
      <w:bookmarkStart w:id="271" w:name="_Toc80780372"/>
      <w:bookmarkStart w:id="272" w:name="_Toc99015391"/>
      <w:r>
        <w:rPr>
          <w:rFonts w:eastAsia="Times New Roman"/>
          <w:lang w:eastAsia="ru-RU"/>
        </w:rPr>
        <w:t xml:space="preserve">Статья 47. Ограничения использования земельных участков и объектов капитального строительства на территории в границах </w:t>
      </w:r>
      <w:bookmarkEnd w:id="264"/>
      <w:bookmarkEnd w:id="265"/>
      <w:bookmarkEnd w:id="266"/>
      <w:bookmarkEnd w:id="267"/>
      <w:bookmarkEnd w:id="268"/>
      <w:r>
        <w:rPr>
          <w:rFonts w:eastAsia="Times New Roman"/>
          <w:lang w:eastAsia="ru-RU"/>
        </w:rPr>
        <w:t>охранной зоны водопроводных сооружений</w:t>
      </w:r>
      <w:bookmarkEnd w:id="269"/>
      <w:bookmarkEnd w:id="270"/>
      <w:bookmarkEnd w:id="271"/>
      <w:bookmarkEnd w:id="272"/>
    </w:p>
    <w:p>
      <w:pPr>
        <w:widowControl w:val="0"/>
        <w:tabs>
          <w:tab w:val="left" w:pos="0"/>
          <w:tab w:val="left" w:pos="360"/>
        </w:tabs>
        <w:overflowPunct w:val="0"/>
        <w:adjustRightInd w:val="0"/>
        <w:spacing w:after="0" w:line="240" w:lineRule="auto"/>
        <w:ind w:firstLine="6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соответствии с СанПиН 2.1.4.1110-02 «Зоны санитарной охраны источников водоснабжения и водопроводов питьевого назначения» ширина санитарно-защитной полосы водоводов питьевого назначения по обе стороны от крайних линий водопровода составляет:</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при отсутствии грунтовых вод – не менее </w:t>
      </w:r>
      <w:smartTag w:uri="urn:schemas-microsoft-com:office:smarttags" w:element="metricconverter">
        <w:smartTagPr>
          <w:attr w:name="ProductID" w:val="10 м"/>
        </w:smartTagPr>
        <w:r>
          <w:rPr>
            <w:rFonts w:ascii="Times New Roman" w:eastAsia="MS Mincho" w:hAnsi="Times New Roman" w:cs="Times New Roman"/>
            <w:sz w:val="26"/>
            <w:szCs w:val="26"/>
            <w:lang w:eastAsia="ar-SA"/>
          </w:rPr>
          <w:t>10 м</w:t>
        </w:r>
      </w:smartTag>
      <w:r>
        <w:rPr>
          <w:rFonts w:ascii="Times New Roman" w:eastAsia="MS Mincho" w:hAnsi="Times New Roman" w:cs="Times New Roman"/>
          <w:sz w:val="26"/>
          <w:szCs w:val="26"/>
          <w:lang w:eastAsia="ar-SA"/>
        </w:rPr>
        <w:t xml:space="preserve"> при диаметре водоводов до </w:t>
      </w:r>
      <w:smartTag w:uri="urn:schemas-microsoft-com:office:smarttags" w:element="metricconverter">
        <w:smartTagPr>
          <w:attr w:name="ProductID" w:val="1000 мм"/>
        </w:smartTagPr>
        <w:r>
          <w:rPr>
            <w:rFonts w:ascii="Times New Roman" w:eastAsia="MS Mincho" w:hAnsi="Times New Roman" w:cs="Times New Roman"/>
            <w:sz w:val="26"/>
            <w:szCs w:val="26"/>
            <w:lang w:eastAsia="ar-SA"/>
          </w:rPr>
          <w:t>1000 мм</w:t>
        </w:r>
      </w:smartTag>
      <w:r>
        <w:rPr>
          <w:rFonts w:ascii="Times New Roman" w:eastAsia="MS Mincho" w:hAnsi="Times New Roman" w:cs="Times New Roman"/>
          <w:sz w:val="26"/>
          <w:szCs w:val="26"/>
          <w:lang w:eastAsia="ar-SA"/>
        </w:rPr>
        <w:t xml:space="preserve"> и не менее </w:t>
      </w:r>
      <w:smartTag w:uri="urn:schemas-microsoft-com:office:smarttags" w:element="metricconverter">
        <w:smartTagPr>
          <w:attr w:name="ProductID" w:val="20 м"/>
        </w:smartTagPr>
        <w:r>
          <w:rPr>
            <w:rFonts w:ascii="Times New Roman" w:eastAsia="MS Mincho" w:hAnsi="Times New Roman" w:cs="Times New Roman"/>
            <w:sz w:val="26"/>
            <w:szCs w:val="26"/>
            <w:lang w:eastAsia="ar-SA"/>
          </w:rPr>
          <w:t>20 м</w:t>
        </w:r>
      </w:smartTag>
      <w:r>
        <w:rPr>
          <w:rFonts w:ascii="Times New Roman" w:eastAsia="MS Mincho" w:hAnsi="Times New Roman" w:cs="Times New Roman"/>
          <w:sz w:val="26"/>
          <w:szCs w:val="26"/>
          <w:lang w:eastAsia="ar-SA"/>
        </w:rPr>
        <w:t xml:space="preserve"> при диаметре водоводов более </w:t>
      </w:r>
      <w:smartTag w:uri="urn:schemas-microsoft-com:office:smarttags" w:element="metricconverter">
        <w:smartTagPr>
          <w:attr w:name="ProductID" w:val="1000 мм"/>
        </w:smartTagPr>
        <w:r>
          <w:rPr>
            <w:rFonts w:ascii="Times New Roman" w:eastAsia="MS Mincho" w:hAnsi="Times New Roman" w:cs="Times New Roman"/>
            <w:sz w:val="26"/>
            <w:szCs w:val="26"/>
            <w:lang w:eastAsia="ar-SA"/>
          </w:rPr>
          <w:t>1000 мм</w:t>
        </w:r>
      </w:smartTag>
      <w:r>
        <w:rPr>
          <w:rFonts w:ascii="Times New Roman" w:eastAsia="MS Mincho" w:hAnsi="Times New Roman" w:cs="Times New Roman"/>
          <w:sz w:val="26"/>
          <w:szCs w:val="26"/>
          <w:lang w:eastAsia="ar-SA"/>
        </w:rPr>
        <w:t>;</w:t>
      </w:r>
    </w:p>
    <w:p>
      <w:pPr>
        <w:numPr>
          <w:ilvl w:val="0"/>
          <w:numId w:val="18"/>
        </w:numPr>
        <w:tabs>
          <w:tab w:val="num" w:pos="0"/>
          <w:tab w:val="left" w:pos="1080"/>
        </w:tabs>
        <w:suppressAutoHyphens/>
        <w:spacing w:after="0" w:line="240" w:lineRule="auto"/>
        <w:ind w:left="0" w:firstLine="720"/>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при наличии грунтовых вод – не менее </w:t>
      </w:r>
      <w:smartTag w:uri="urn:schemas-microsoft-com:office:smarttags" w:element="metricconverter">
        <w:smartTagPr>
          <w:attr w:name="ProductID" w:val="50 м"/>
        </w:smartTagPr>
        <w:r>
          <w:rPr>
            <w:rFonts w:ascii="Times New Roman" w:eastAsia="MS Mincho" w:hAnsi="Times New Roman" w:cs="Times New Roman"/>
            <w:sz w:val="26"/>
            <w:szCs w:val="26"/>
            <w:lang w:eastAsia="ar-SA"/>
          </w:rPr>
          <w:t>50 м</w:t>
        </w:r>
      </w:smartTag>
      <w:r>
        <w:rPr>
          <w:rFonts w:ascii="Times New Roman" w:eastAsia="MS Mincho" w:hAnsi="Times New Roman" w:cs="Times New Roman"/>
          <w:sz w:val="26"/>
          <w:szCs w:val="26"/>
          <w:lang w:eastAsia="ar-SA"/>
        </w:rPr>
        <w:t xml:space="preserve"> вне зависимости от диаметра водоводов.</w:t>
      </w:r>
    </w:p>
    <w:p>
      <w:pPr>
        <w:tabs>
          <w:tab w:val="left" w:pos="180"/>
          <w:tab w:val="left" w:pos="360"/>
        </w:tabs>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 </w:t>
      </w:r>
    </w:p>
    <w:p>
      <w:pPr>
        <w:tabs>
          <w:tab w:val="left" w:pos="360"/>
        </w:tabs>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участках водоводов, где полоса граничит с указанными загрязнителями, следует применять пластмассовые или стальные трубы.</w:t>
      </w:r>
    </w:p>
    <w:p>
      <w:pPr>
        <w:tabs>
          <w:tab w:val="left" w:pos="360"/>
        </w:tabs>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пределах санитарно-защитной полосы водоводов должны отсутствовать источники загрязнения почвы и грунтовых вод (уборные, помойные ямы, навозохранилища, приемники мусора и др.).</w:t>
      </w:r>
    </w:p>
    <w:p>
      <w:pPr>
        <w:tabs>
          <w:tab w:val="left" w:pos="360"/>
        </w:tabs>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Запрещается прокладка водоводов по территории свалок, полей ассенизации, полей фильтрации, земледельческих полей орошения, кладбищ, скотомогильников, а также по территории промышленных и сельскохозяйственных предприятий.</w:t>
      </w:r>
    </w:p>
    <w:p>
      <w:pPr>
        <w:tabs>
          <w:tab w:val="left" w:pos="1205"/>
        </w:tabs>
        <w:suppressAutoHyphens/>
        <w:spacing w:after="0" w:line="240" w:lineRule="auto"/>
        <w:ind w:firstLine="709"/>
        <w:jc w:val="both"/>
        <w:rPr>
          <w:rFonts w:ascii="Times New Roman" w:eastAsia="MS Mincho" w:hAnsi="Times New Roman" w:cs="Times New Roman"/>
          <w:sz w:val="24"/>
          <w:szCs w:val="24"/>
          <w:lang w:eastAsia="ar-SA"/>
        </w:rPr>
      </w:pPr>
      <w:r>
        <w:rPr>
          <w:rFonts w:ascii="Times New Roman" w:eastAsia="MS Mincho" w:hAnsi="Times New Roman" w:cs="Times New Roman"/>
          <w:sz w:val="24"/>
          <w:szCs w:val="24"/>
          <w:lang w:eastAsia="ar-SA"/>
        </w:rPr>
        <w:tab/>
      </w:r>
    </w:p>
    <w:p>
      <w:pPr>
        <w:pStyle w:val="3"/>
        <w:rPr>
          <w:rFonts w:eastAsia="Times New Roman"/>
          <w:lang w:eastAsia="ru-RU"/>
        </w:rPr>
      </w:pPr>
      <w:bookmarkStart w:id="273" w:name="_Toc504495104"/>
      <w:bookmarkStart w:id="274" w:name="_Toc36137004"/>
      <w:bookmarkStart w:id="275" w:name="_Toc80780373"/>
      <w:bookmarkStart w:id="276" w:name="_Toc99015392"/>
      <w:r>
        <w:rPr>
          <w:rFonts w:eastAsia="Times New Roman"/>
          <w:lang w:eastAsia="ru-RU"/>
        </w:rPr>
        <w:t>Статья 48. Ограничения использования земельных участков и объектов капитального строительства на территории зон затопления, подтопления</w:t>
      </w:r>
      <w:bookmarkEnd w:id="273"/>
      <w:bookmarkEnd w:id="274"/>
      <w:bookmarkEnd w:id="275"/>
      <w:bookmarkEnd w:id="276"/>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Порядок установления, изменения и прекращения существования зон затопления, подтопления устанавливается Положением о зонах затопления, подтопления, утвержденным Постановлением Правительства РФ от 18.04.2014 № 360 «О зонах затопления, подтопления».</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 xml:space="preserve">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w:t>
      </w:r>
      <w:r>
        <w:rPr>
          <w:rFonts w:ascii="Times New Roman" w:eastAsia="Times New Roman" w:hAnsi="Times New Roman" w:cs="Times New Roman"/>
          <w:bCs/>
          <w:sz w:val="26"/>
          <w:szCs w:val="26"/>
          <w:lang w:eastAsia="ru-RU"/>
        </w:rPr>
        <w:lastRenderedPageBreak/>
        <w:t>перечень координат характерных границ таких зон в системе координат, установленной для ведения Единого государственного реестра недвижимости.</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Границы зон затопления, подтопления устанавливаются в отношении территорий в соответствии с со следующими требованиями:</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1. Зоны затопления устанавливаются в отношении:</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б) территорий, прилегающих к устьевым участкам водотоков, затапливаемых в результате нагонных явлений расчетной обеспеченности;</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в) территорий, прилегающих к естественным водоемам, затапливаемых при уровнях воды однопроцентной обеспеченности;</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pPr>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границах</w:t>
      </w:r>
      <w:r>
        <w:rPr>
          <w:rFonts w:ascii="Times New Roman" w:eastAsia="Times New Roman" w:hAnsi="Times New Roman" w:cs="Times New Roman"/>
          <w:b/>
          <w:sz w:val="26"/>
          <w:szCs w:val="26"/>
          <w:lang w:eastAsia="ru-RU"/>
        </w:rPr>
        <w:t xml:space="preserve"> </w:t>
      </w:r>
      <w:r>
        <w:rPr>
          <w:rFonts w:ascii="Times New Roman" w:eastAsia="Times New Roman" w:hAnsi="Times New Roman" w:cs="Times New Roman"/>
          <w:sz w:val="26"/>
          <w:szCs w:val="26"/>
          <w:lang w:eastAsia="ru-RU"/>
        </w:rPr>
        <w:t>зон затопления 1% обеспеченности режим использования территории регламентируется СП 42.13330.2016 «Градостроительство. Планировка и застройка городских и сельских поселений», согласно которым освоение территорий под гражданско-промышленное строительство требуется проводить с учетом инженерной подготовки и защиты территории. Жилищное и промышленное строительство возможно после осуществления мероприятий по инженерной защите осваиваемой территории. Для ведения сельского хозяйства эти территории благоприятны, также как и для рекреации.</w:t>
      </w:r>
    </w:p>
    <w:p>
      <w:pPr>
        <w:suppressAutoHyphens/>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2. Зоны подтопления устанавливаются в отношении территорий, прилегающих к зонам затопления, указанным в пункте 1, повышение уровня грунтовых вод которых обусловливается подпором грунтовых вод уровнями высоких вод водных объектов. В границах зон подтопления устанавливаются:</w:t>
      </w:r>
    </w:p>
    <w:p>
      <w:pPr>
        <w:suppressAutoHyphens/>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а) территории сильного подтопления – при глубине залегания грунтовых вод менее 0,3 метра;</w:t>
      </w:r>
    </w:p>
    <w:p>
      <w:pPr>
        <w:suppressAutoHyphens/>
        <w:spacing w:after="0" w:line="240" w:lineRule="auto"/>
        <w:ind w:firstLine="709"/>
        <w:jc w:val="both"/>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б) территории умеренного подтопления – при глубине залегания грунтовых вод от 0,3 - 0,7 до 1,2 - 2 метров от поверхности;</w:t>
      </w:r>
    </w:p>
    <w:p>
      <w:pPr>
        <w:suppressAutoHyphens/>
        <w:spacing w:after="0" w:line="240" w:lineRule="auto"/>
        <w:ind w:firstLine="709"/>
        <w:jc w:val="both"/>
        <w:rPr>
          <w:rFonts w:ascii="Times New Roman" w:eastAsia="MS Mincho" w:hAnsi="Times New Roman" w:cs="Times New Roman"/>
          <w:bCs/>
          <w:sz w:val="26"/>
          <w:szCs w:val="26"/>
          <w:lang w:eastAsia="ar-SA"/>
        </w:rPr>
      </w:pPr>
      <w:r>
        <w:rPr>
          <w:rFonts w:ascii="Times New Roman" w:eastAsia="Times New Roman" w:hAnsi="Times New Roman" w:cs="Times New Roman"/>
          <w:bCs/>
          <w:sz w:val="26"/>
          <w:szCs w:val="26"/>
          <w:lang w:eastAsia="ru-RU"/>
        </w:rPr>
        <w:t>в) территории слабого подтопления – при глубине залегания грунтовых вод от 2 до 3 метров.</w:t>
      </w:r>
      <w:r>
        <w:rPr>
          <w:rFonts w:ascii="Times New Roman" w:eastAsia="MS Mincho" w:hAnsi="Times New Roman" w:cs="Times New Roman"/>
          <w:bCs/>
          <w:sz w:val="26"/>
          <w:szCs w:val="26"/>
          <w:lang w:eastAsia="ar-SA"/>
        </w:rPr>
        <w:t xml:space="preserve"> </w:t>
      </w:r>
    </w:p>
    <w:p>
      <w:pPr>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Мероприятия по понижению уровня грунтовых вод и осушение заболоченностей должны обеспечивать нормальные условия для осуществления строительства, эксплуатации зданий и сооружений, произрастания зелёных насаждений. Допустимая минимальная глубина залегания грунтовых вод (норма осушения):</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для зданий и сооружений с подвальными помещениями – 0,5-</w:t>
      </w:r>
      <w:smartTag w:uri="urn:schemas-microsoft-com:office:smarttags" w:element="metricconverter">
        <w:smartTagPr>
          <w:attr w:name="ProductID" w:val="1,0 м"/>
        </w:smartTagPr>
        <w:r>
          <w:rPr>
            <w:rFonts w:ascii="Times New Roman" w:eastAsia="MS Mincho" w:hAnsi="Times New Roman" w:cs="Times New Roman"/>
            <w:sz w:val="26"/>
            <w:szCs w:val="26"/>
            <w:lang w:eastAsia="ar-SA"/>
          </w:rPr>
          <w:t>1,0 м</w:t>
        </w:r>
      </w:smartTag>
      <w:r>
        <w:rPr>
          <w:rFonts w:ascii="Times New Roman" w:eastAsia="MS Mincho" w:hAnsi="Times New Roman" w:cs="Times New Roman"/>
          <w:sz w:val="26"/>
          <w:szCs w:val="26"/>
          <w:lang w:eastAsia="ar-SA"/>
        </w:rPr>
        <w:t xml:space="preserve"> от пола подвала;</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 xml:space="preserve">для зданий и сооружений без подвалов – </w:t>
      </w:r>
      <w:smartTag w:uri="urn:schemas-microsoft-com:office:smarttags" w:element="metricconverter">
        <w:smartTagPr>
          <w:attr w:name="ProductID" w:val="0,5 м"/>
        </w:smartTagPr>
        <w:r>
          <w:rPr>
            <w:rFonts w:ascii="Times New Roman" w:eastAsia="MS Mincho" w:hAnsi="Times New Roman" w:cs="Times New Roman"/>
            <w:sz w:val="26"/>
            <w:szCs w:val="26"/>
            <w:lang w:eastAsia="ar-SA"/>
          </w:rPr>
          <w:t>0,5 м</w:t>
        </w:r>
      </w:smartTag>
      <w:r>
        <w:rPr>
          <w:rFonts w:ascii="Times New Roman" w:eastAsia="MS Mincho" w:hAnsi="Times New Roman" w:cs="Times New Roman"/>
          <w:sz w:val="26"/>
          <w:szCs w:val="26"/>
          <w:lang w:eastAsia="ar-SA"/>
        </w:rPr>
        <w:t xml:space="preserve"> от подошвы фундамента;</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lastRenderedPageBreak/>
        <w:t xml:space="preserve">для проезжей части улиц, площадей – </w:t>
      </w:r>
      <w:smartTag w:uri="urn:schemas-microsoft-com:office:smarttags" w:element="metricconverter">
        <w:smartTagPr>
          <w:attr w:name="ProductID" w:val="0,5 м"/>
        </w:smartTagPr>
        <w:r>
          <w:rPr>
            <w:rFonts w:ascii="Times New Roman" w:eastAsia="MS Mincho" w:hAnsi="Times New Roman" w:cs="Times New Roman"/>
            <w:sz w:val="26"/>
            <w:szCs w:val="26"/>
            <w:lang w:eastAsia="ar-SA"/>
          </w:rPr>
          <w:t>0,5 м</w:t>
        </w:r>
      </w:smartTag>
      <w:r>
        <w:rPr>
          <w:rFonts w:ascii="Times New Roman" w:eastAsia="MS Mincho" w:hAnsi="Times New Roman" w:cs="Times New Roman"/>
          <w:sz w:val="26"/>
          <w:szCs w:val="26"/>
          <w:lang w:eastAsia="ar-SA"/>
        </w:rPr>
        <w:t xml:space="preserve"> от подстилающего слоя дорожной одежды;</w:t>
      </w:r>
    </w:p>
    <w:p>
      <w:pPr>
        <w:numPr>
          <w:ilvl w:val="0"/>
          <w:numId w:val="18"/>
        </w:numPr>
        <w:tabs>
          <w:tab w:val="num" w:pos="0"/>
          <w:tab w:val="left" w:pos="1080"/>
        </w:tabs>
        <w:suppressAutoHyphens/>
        <w:spacing w:after="0" w:line="240" w:lineRule="auto"/>
        <w:ind w:left="0"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для зелёных насаждения общего пользования:</w:t>
      </w:r>
    </w:p>
    <w:p>
      <w:pPr>
        <w:tabs>
          <w:tab w:val="left" w:pos="1080"/>
        </w:tabs>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1,0-</w:t>
      </w:r>
      <w:smartTag w:uri="urn:schemas-microsoft-com:office:smarttags" w:element="metricconverter">
        <w:smartTagPr>
          <w:attr w:name="ProductID" w:val="2,0 м"/>
        </w:smartTagPr>
        <w:r>
          <w:rPr>
            <w:rFonts w:ascii="Times New Roman" w:eastAsia="MS Mincho" w:hAnsi="Times New Roman" w:cs="Times New Roman"/>
            <w:sz w:val="26"/>
            <w:szCs w:val="26"/>
            <w:lang w:eastAsia="ar-SA"/>
          </w:rPr>
          <w:t>2,0 м</w:t>
        </w:r>
      </w:smartTag>
      <w:r>
        <w:rPr>
          <w:rFonts w:ascii="Times New Roman" w:eastAsia="MS Mincho" w:hAnsi="Times New Roman" w:cs="Times New Roman"/>
          <w:sz w:val="26"/>
          <w:szCs w:val="26"/>
          <w:lang w:eastAsia="ar-SA"/>
        </w:rPr>
        <w:t xml:space="preserve"> – для древесных насаждений, </w:t>
      </w:r>
    </w:p>
    <w:p>
      <w:pPr>
        <w:tabs>
          <w:tab w:val="left" w:pos="1080"/>
        </w:tabs>
        <w:suppressAutoHyphens/>
        <w:spacing w:after="0" w:line="240" w:lineRule="auto"/>
        <w:ind w:firstLine="709"/>
        <w:jc w:val="both"/>
        <w:rPr>
          <w:rFonts w:ascii="Times New Roman" w:eastAsia="MS Mincho" w:hAnsi="Times New Roman" w:cs="Times New Roman"/>
          <w:sz w:val="26"/>
          <w:szCs w:val="26"/>
          <w:lang w:eastAsia="ar-SA"/>
        </w:rPr>
      </w:pPr>
      <w:r>
        <w:rPr>
          <w:rFonts w:ascii="Times New Roman" w:eastAsia="MS Mincho" w:hAnsi="Times New Roman" w:cs="Times New Roman"/>
          <w:sz w:val="26"/>
          <w:szCs w:val="26"/>
          <w:lang w:eastAsia="ar-SA"/>
        </w:rPr>
        <w:t>0,5-</w:t>
      </w:r>
      <w:smartTag w:uri="urn:schemas-microsoft-com:office:smarttags" w:element="metricconverter">
        <w:smartTagPr>
          <w:attr w:name="ProductID" w:val="1,0 м"/>
        </w:smartTagPr>
        <w:r>
          <w:rPr>
            <w:rFonts w:ascii="Times New Roman" w:eastAsia="MS Mincho" w:hAnsi="Times New Roman" w:cs="Times New Roman"/>
            <w:sz w:val="26"/>
            <w:szCs w:val="26"/>
            <w:lang w:eastAsia="ar-SA"/>
          </w:rPr>
          <w:t>1,0 м</w:t>
        </w:r>
      </w:smartTag>
      <w:r>
        <w:rPr>
          <w:rFonts w:ascii="Times New Roman" w:eastAsia="MS Mincho" w:hAnsi="Times New Roman" w:cs="Times New Roman"/>
          <w:sz w:val="26"/>
          <w:szCs w:val="26"/>
          <w:lang w:eastAsia="ar-SA"/>
        </w:rPr>
        <w:t xml:space="preserve"> – для газонов и стадионов, </w:t>
      </w:r>
    </w:p>
    <w:p>
      <w:pPr>
        <w:tabs>
          <w:tab w:val="left" w:pos="1080"/>
        </w:tabs>
        <w:suppressAutoHyphens/>
        <w:spacing w:after="0" w:line="240" w:lineRule="auto"/>
        <w:ind w:firstLine="709"/>
        <w:jc w:val="both"/>
        <w:rPr>
          <w:rFonts w:ascii="Times New Roman" w:eastAsia="MS Mincho" w:hAnsi="Times New Roman" w:cs="Times New Roman"/>
          <w:sz w:val="26"/>
          <w:szCs w:val="26"/>
          <w:lang w:eastAsia="ar-SA"/>
        </w:rPr>
      </w:pPr>
      <w:smartTag w:uri="urn:schemas-microsoft-com:office:smarttags" w:element="metricconverter">
        <w:smartTagPr>
          <w:attr w:name="ProductID" w:val="2,5 м"/>
        </w:smartTagPr>
        <w:r>
          <w:rPr>
            <w:rFonts w:ascii="Times New Roman" w:eastAsia="MS Mincho" w:hAnsi="Times New Roman" w:cs="Times New Roman"/>
            <w:sz w:val="26"/>
            <w:szCs w:val="26"/>
            <w:lang w:eastAsia="ar-SA"/>
          </w:rPr>
          <w:t>2,5 м</w:t>
        </w:r>
      </w:smartTag>
      <w:r>
        <w:rPr>
          <w:rFonts w:ascii="Times New Roman" w:eastAsia="MS Mincho" w:hAnsi="Times New Roman" w:cs="Times New Roman"/>
          <w:sz w:val="26"/>
          <w:szCs w:val="26"/>
          <w:lang w:eastAsia="ar-SA"/>
        </w:rPr>
        <w:t xml:space="preserve"> – для кладбищ. </w:t>
      </w:r>
    </w:p>
    <w:p>
      <w:pPr>
        <w:pStyle w:val="3"/>
        <w:rPr>
          <w:rFonts w:eastAsia="Times New Roman"/>
          <w:lang w:eastAsia="ru-RU"/>
        </w:rPr>
      </w:pPr>
      <w:bookmarkStart w:id="277" w:name="_Toc504495095"/>
      <w:bookmarkStart w:id="278" w:name="_Toc36136995"/>
      <w:bookmarkStart w:id="279" w:name="_Toc80780374"/>
      <w:bookmarkStart w:id="280" w:name="_Toc99015393"/>
      <w:r>
        <w:rPr>
          <w:rFonts w:eastAsia="Times New Roman"/>
          <w:lang w:eastAsia="ru-RU"/>
        </w:rPr>
        <w:t>Статья 49. Ограничения использования земельных участков и объектов капитального строительства в зонах охраны объектов электросетевого хозяйства</w:t>
      </w:r>
      <w:bookmarkEnd w:id="277"/>
      <w:bookmarkEnd w:id="278"/>
      <w:bookmarkEnd w:id="279"/>
      <w:bookmarkEnd w:id="280"/>
    </w:p>
    <w:p>
      <w:pPr>
        <w:numPr>
          <w:ilvl w:val="0"/>
          <w:numId w:val="31"/>
        </w:numPr>
        <w:tabs>
          <w:tab w:val="left" w:pos="989"/>
        </w:tabs>
        <w:autoSpaceDE w:val="0"/>
        <w:autoSpaceDN w:val="0"/>
        <w:adjustRightInd w:val="0"/>
        <w:spacing w:after="0" w:line="322" w:lineRule="exact"/>
        <w:ind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территории зон охраны объектов электросетевого хозяйства в установленных границах в соответствии с законодательством Российской Федерации, в том числе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устанавливается специальный режим использования земельных участков и объектов капитального строительства.</w:t>
      </w:r>
    </w:p>
    <w:p>
      <w:pPr>
        <w:numPr>
          <w:ilvl w:val="0"/>
          <w:numId w:val="31"/>
        </w:numPr>
        <w:tabs>
          <w:tab w:val="left" w:pos="989"/>
        </w:tabs>
        <w:autoSpaceDE w:val="0"/>
        <w:autoSpaceDN w:val="0"/>
        <w:adjustRightInd w:val="0"/>
        <w:spacing w:after="0" w:line="322" w:lineRule="exact"/>
        <w:ind w:right="5"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pPr>
        <w:numPr>
          <w:ilvl w:val="0"/>
          <w:numId w:val="32"/>
        </w:numPr>
        <w:tabs>
          <w:tab w:val="left" w:pos="1018"/>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pPr>
        <w:numPr>
          <w:ilvl w:val="0"/>
          <w:numId w:val="32"/>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pPr>
        <w:numPr>
          <w:ilvl w:val="0"/>
          <w:numId w:val="32"/>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pPr>
        <w:numPr>
          <w:ilvl w:val="0"/>
          <w:numId w:val="32"/>
        </w:numPr>
        <w:tabs>
          <w:tab w:val="left" w:pos="1018"/>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размещать свалки;</w:t>
      </w:r>
    </w:p>
    <w:p>
      <w:pPr>
        <w:numPr>
          <w:ilvl w:val="0"/>
          <w:numId w:val="32"/>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производить работы ударными механизмами, сбрасывать тяжести массой свыше 5 тонн, производить сброс и слив едких и коррозионных веществ и горюче-</w:t>
      </w:r>
      <w:r>
        <w:rPr>
          <w:rFonts w:ascii="Times New Roman" w:eastAsia="Times New Roman" w:hAnsi="Times New Roman" w:cs="Times New Roman"/>
          <w:sz w:val="26"/>
          <w:szCs w:val="26"/>
          <w:lang w:eastAsia="ru-RU"/>
        </w:rPr>
        <w:lastRenderedPageBreak/>
        <w:t>смазочных материалов (в охранных зонах подземных кабельных линий электропередачи).</w:t>
      </w:r>
    </w:p>
    <w:p>
      <w:pPr>
        <w:tabs>
          <w:tab w:val="left" w:pos="989"/>
        </w:tabs>
        <w:autoSpaceDE w:val="0"/>
        <w:autoSpaceDN w:val="0"/>
        <w:adjustRightInd w:val="0"/>
        <w:spacing w:before="67"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ab/>
        <w:t>В охранных зонах, установленных для объектов электросетевого</w:t>
      </w:r>
      <w:r>
        <w:rPr>
          <w:rFonts w:ascii="Times New Roman" w:eastAsia="Times New Roman" w:hAnsi="Times New Roman" w:cs="Times New Roman"/>
          <w:sz w:val="26"/>
          <w:szCs w:val="26"/>
          <w:lang w:eastAsia="ru-RU"/>
        </w:rPr>
        <w:br/>
        <w:t>хозяйства напряжением свыше 1000 вольт, помимо действий,</w:t>
      </w:r>
      <w:r>
        <w:rPr>
          <w:rFonts w:ascii="Times New Roman" w:eastAsia="Times New Roman" w:hAnsi="Times New Roman" w:cs="Times New Roman"/>
          <w:sz w:val="26"/>
          <w:szCs w:val="26"/>
          <w:lang w:eastAsia="ru-RU"/>
        </w:rPr>
        <w:br/>
        <w:t>предусмотренных пунктом 2 настоящего раздела, запрещается:</w:t>
      </w:r>
    </w:p>
    <w:p>
      <w:pPr>
        <w:numPr>
          <w:ilvl w:val="0"/>
          <w:numId w:val="33"/>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складировать или размещать хранилища любых, в том числе горюче</w:t>
      </w:r>
      <w:r>
        <w:rPr>
          <w:rFonts w:ascii="Times New Roman" w:eastAsia="Times New Roman" w:hAnsi="Times New Roman" w:cs="Times New Roman"/>
          <w:sz w:val="26"/>
          <w:szCs w:val="26"/>
          <w:lang w:eastAsia="ru-RU"/>
        </w:rPr>
        <w:softHyphen/>
        <w:t>смазочных материалов;</w:t>
      </w:r>
    </w:p>
    <w:p>
      <w:pPr>
        <w:numPr>
          <w:ilvl w:val="0"/>
          <w:numId w:val="33"/>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pPr>
        <w:numPr>
          <w:ilvl w:val="0"/>
          <w:numId w:val="33"/>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pPr>
        <w:numPr>
          <w:ilvl w:val="0"/>
          <w:numId w:val="33"/>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pPr>
        <w:numPr>
          <w:ilvl w:val="0"/>
          <w:numId w:val="33"/>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осуществлять проход судов с поднятыми стрелами кранов и других механизмов (в охранных зонах воздушных линий электропередачи).</w:t>
      </w:r>
    </w:p>
    <w:p>
      <w:pPr>
        <w:tabs>
          <w:tab w:val="left" w:pos="989"/>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w:t>
      </w:r>
      <w:r>
        <w:rPr>
          <w:rFonts w:ascii="Times New Roman" w:eastAsia="Times New Roman" w:hAnsi="Times New Roman" w:cs="Times New Roman"/>
          <w:sz w:val="26"/>
          <w:szCs w:val="26"/>
          <w:lang w:eastAsia="ru-RU"/>
        </w:rPr>
        <w:tab/>
        <w:t>В пределах охранных зон без письменного решения о согласовании</w:t>
      </w:r>
      <w:r>
        <w:rPr>
          <w:rFonts w:ascii="Times New Roman" w:eastAsia="Times New Roman" w:hAnsi="Times New Roman" w:cs="Times New Roman"/>
          <w:sz w:val="26"/>
          <w:szCs w:val="26"/>
          <w:lang w:eastAsia="ru-RU"/>
        </w:rPr>
        <w:br/>
        <w:t>сетевых организаций юридическим и физическим лицам запрещаются:</w:t>
      </w:r>
    </w:p>
    <w:p>
      <w:pPr>
        <w:numPr>
          <w:ilvl w:val="0"/>
          <w:numId w:val="34"/>
        </w:numPr>
        <w:tabs>
          <w:tab w:val="left" w:pos="1013"/>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строительство, капитальный ремонт, реконструкция или снос зданий и сооружений;</w:t>
      </w:r>
    </w:p>
    <w:p>
      <w:pPr>
        <w:numPr>
          <w:ilvl w:val="0"/>
          <w:numId w:val="34"/>
        </w:numPr>
        <w:tabs>
          <w:tab w:val="left" w:pos="1013"/>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горные, взрывные, мелиоративные работы, в том числе связанные с временным затоплением земель;</w:t>
      </w:r>
    </w:p>
    <w:p>
      <w:pPr>
        <w:numPr>
          <w:ilvl w:val="0"/>
          <w:numId w:val="34"/>
        </w:numPr>
        <w:tabs>
          <w:tab w:val="left" w:pos="1013"/>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посадка и вырубка деревьев и кустарников;</w:t>
      </w:r>
    </w:p>
    <w:p>
      <w:pPr>
        <w:numPr>
          <w:ilvl w:val="0"/>
          <w:numId w:val="34"/>
        </w:numPr>
        <w:tabs>
          <w:tab w:val="left" w:pos="1013"/>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проезд машин и механизмов, имеющих общую высоту с грузом или без груза от поверхности дороги более 4,5 метров (в охранных зонах воздушных линий электропередачи);</w:t>
      </w:r>
    </w:p>
    <w:p>
      <w:pPr>
        <w:numPr>
          <w:ilvl w:val="0"/>
          <w:numId w:val="34"/>
        </w:numPr>
        <w:tabs>
          <w:tab w:val="left" w:pos="1013"/>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земляные работы на глубине более 0,3 метра (на вспахиваемых землях - на глубине более 0,45 метра), а также планировка грунта (в охранных зонах подземных кабельных линий электропередачи);</w:t>
      </w:r>
    </w:p>
    <w:p>
      <w:pPr>
        <w:numPr>
          <w:ilvl w:val="0"/>
          <w:numId w:val="34"/>
        </w:numPr>
        <w:tabs>
          <w:tab w:val="left" w:pos="1013"/>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pPr>
        <w:numPr>
          <w:ilvl w:val="0"/>
          <w:numId w:val="34"/>
        </w:numPr>
        <w:tabs>
          <w:tab w:val="left" w:pos="1013"/>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pPr>
        <w:tabs>
          <w:tab w:val="left" w:pos="989"/>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5.</w:t>
      </w:r>
      <w:r>
        <w:rPr>
          <w:rFonts w:ascii="Times New Roman" w:eastAsia="Times New Roman" w:hAnsi="Times New Roman" w:cs="Times New Roman"/>
          <w:sz w:val="26"/>
          <w:szCs w:val="26"/>
          <w:lang w:eastAsia="ru-RU"/>
        </w:rPr>
        <w:tab/>
        <w:t>В охранных зонах, установленных для объектов электросетевого</w:t>
      </w:r>
      <w:r>
        <w:rPr>
          <w:rFonts w:ascii="Times New Roman" w:eastAsia="Times New Roman" w:hAnsi="Times New Roman" w:cs="Times New Roman"/>
          <w:sz w:val="26"/>
          <w:szCs w:val="26"/>
          <w:lang w:eastAsia="ru-RU"/>
        </w:rPr>
        <w:br/>
        <w:t>хозяйства напряжением до 1000 вольт, помимо действий, предусмотренных</w:t>
      </w:r>
      <w:r>
        <w:rPr>
          <w:rFonts w:ascii="Times New Roman" w:eastAsia="Times New Roman" w:hAnsi="Times New Roman" w:cs="Times New Roman"/>
          <w:sz w:val="26"/>
          <w:szCs w:val="26"/>
          <w:lang w:eastAsia="ru-RU"/>
        </w:rPr>
        <w:br/>
        <w:t>пунктом 4 настоящего раздела, без письменного решения о согласовании</w:t>
      </w:r>
      <w:r>
        <w:rPr>
          <w:rFonts w:ascii="Times New Roman" w:eastAsia="Times New Roman" w:hAnsi="Times New Roman" w:cs="Times New Roman"/>
          <w:sz w:val="26"/>
          <w:szCs w:val="26"/>
          <w:lang w:eastAsia="ru-RU"/>
        </w:rPr>
        <w:br/>
        <w:t>сетевых организаций запрещается:</w:t>
      </w:r>
    </w:p>
    <w:p>
      <w:pPr>
        <w:numPr>
          <w:ilvl w:val="0"/>
          <w:numId w:val="35"/>
        </w:numPr>
        <w:tabs>
          <w:tab w:val="left" w:pos="1013"/>
        </w:tabs>
        <w:autoSpaceDE w:val="0"/>
        <w:autoSpaceDN w:val="0"/>
        <w:adjustRightInd w:val="0"/>
        <w:spacing w:before="67" w:after="0" w:line="322" w:lineRule="exact"/>
        <w:ind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pPr>
        <w:numPr>
          <w:ilvl w:val="0"/>
          <w:numId w:val="35"/>
        </w:numPr>
        <w:tabs>
          <w:tab w:val="left" w:pos="1013"/>
        </w:tabs>
        <w:autoSpaceDE w:val="0"/>
        <w:autoSpaceDN w:val="0"/>
        <w:adjustRightInd w:val="0"/>
        <w:spacing w:after="0" w:line="322" w:lineRule="exact"/>
        <w:ind w:right="14"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складировать или размещать хранилища любых, в том числе горюче</w:t>
      </w:r>
      <w:r>
        <w:rPr>
          <w:rFonts w:ascii="Times New Roman" w:eastAsia="Times New Roman" w:hAnsi="Times New Roman" w:cs="Times New Roman"/>
          <w:sz w:val="26"/>
          <w:szCs w:val="26"/>
          <w:lang w:eastAsia="ru-RU"/>
        </w:rPr>
        <w:softHyphen/>
        <w:t>смазочных, материалов;</w:t>
      </w:r>
    </w:p>
    <w:p>
      <w:pPr>
        <w:numPr>
          <w:ilvl w:val="0"/>
          <w:numId w:val="35"/>
        </w:numPr>
        <w:tabs>
          <w:tab w:val="left" w:pos="1013"/>
        </w:tabs>
        <w:autoSpaceDE w:val="0"/>
        <w:autoSpaceDN w:val="0"/>
        <w:adjustRightInd w:val="0"/>
        <w:spacing w:after="0" w:line="322" w:lineRule="exact"/>
        <w:ind w:right="5"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pPr>
        <w:pStyle w:val="3"/>
        <w:rPr>
          <w:rFonts w:eastAsia="Times New Roman"/>
          <w:lang w:eastAsia="ru-RU"/>
        </w:rPr>
      </w:pPr>
      <w:bookmarkStart w:id="281" w:name="_Toc80780375"/>
      <w:bookmarkStart w:id="282" w:name="_Toc99015394"/>
      <w:r>
        <w:rPr>
          <w:rFonts w:eastAsia="Times New Roman"/>
          <w:lang w:eastAsia="ru-RU"/>
        </w:rPr>
        <w:t>Статья 50. Ограничения использования земельных участков и объектов капитального строительства на территории в границах охранной зоны гидрометеорологической станции</w:t>
      </w:r>
      <w:bookmarkEnd w:id="281"/>
      <w:bookmarkEnd w:id="282"/>
      <w:r>
        <w:rPr>
          <w:rFonts w:eastAsia="Times New Roman"/>
          <w:lang w:eastAsia="ru-RU"/>
        </w:rPr>
        <w:t xml:space="preserve"> </w:t>
      </w:r>
    </w:p>
    <w:p>
      <w:pPr>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Охранная зона гидрометеорологической станции регламентируется постановлением Совмина СССР от 06.01.1983 г. № 19 «Об усилении мер по обеспечению сохранности гидрометеорологических станций, осуществляющих наблюдение и контроль за состоянием природной среды».</w:t>
      </w:r>
    </w:p>
    <w:p>
      <w:pPr>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 соответствии с постановлением Совета Министров СССР от 06.01.83 № 19: </w:t>
      </w:r>
    </w:p>
    <w:p>
      <w:pPr>
        <w:autoSpaceDE w:val="0"/>
        <w:autoSpaceDN w:val="0"/>
        <w:adjustRightInd w:val="0"/>
        <w:spacing w:after="0" w:line="24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Земельные участки (водные объекты), вводящие в охранные зоны гидрометеорологических станций, не изымаются у землепользователей (водопользователей) н используются ими с соблюдением следующих требований: </w:t>
      </w:r>
    </w:p>
    <w:p>
      <w:pPr>
        <w:autoSpaceDE w:val="0"/>
        <w:autoSpaceDN w:val="0"/>
        <w:adjustRightInd w:val="0"/>
        <w:spacing w:after="0" w:line="240" w:lineRule="auto"/>
        <w:ind w:left="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а) в охранных зонах гидрометеорологических станций, входящих в перечень реперных климатических, морских береговых и устьевых станций вековой сети гидрометеорологических наблюдений, запрещается: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возводить любые здания и сооружения;</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сооружать оросительные и осушительные системы;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производить горные, строительные, монтажные, взрывные работы и планировку грунта;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высаживать деревья, складировать удобрения, устраивать свалки, выливать растворы кислот, солей, щелочей;</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устраивать стоянки автомобильного транспорта, тракторов я других машин и механизмов;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сооружать причалы и пристани;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перемещать и производить засыпку и поломку опознавательных и сигнальных знаков, контрольно-измерительных пунктов; </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бросать якоря, проходить с отданными якорями, цепями, лотами, волокушами и тралами, производить дноуглубительные и землечерпательные работы;</w:t>
      </w:r>
    </w:p>
    <w:p>
      <w:pPr>
        <w:autoSpaceDE w:val="0"/>
        <w:autoSpaceDN w:val="0"/>
        <w:adjustRightInd w:val="0"/>
        <w:spacing w:after="0" w:line="240" w:lineRule="auto"/>
        <w:ind w:left="108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 xml:space="preserve"> — выделять рыбопромысловые участки, производить добычу рыбы, а также водных животных н растений. </w:t>
      </w:r>
    </w:p>
    <w:p>
      <w:pPr>
        <w:autoSpaceDE w:val="0"/>
        <w:autoSpaceDN w:val="0"/>
        <w:adjustRightInd w:val="0"/>
        <w:spacing w:after="0" w:line="240" w:lineRule="auto"/>
        <w:ind w:left="720"/>
        <w:jc w:val="both"/>
        <w:rPr>
          <w:rFonts w:ascii="Times New Roman" w:eastAsia="Times New Roman" w:hAnsi="Times New Roman" w:cs="Times New Roman"/>
          <w:sz w:val="26"/>
          <w:szCs w:val="26"/>
          <w:lang w:eastAsia="ru-RU"/>
        </w:rPr>
      </w:pPr>
      <w:r>
        <w:rPr>
          <w:rFonts w:ascii="Times New Roman" w:eastAsia="Times New Roman" w:hAnsi="Times New Roman" w:cs="Times New Roman"/>
          <w:color w:val="2D2D2D"/>
          <w:spacing w:val="2"/>
          <w:sz w:val="26"/>
          <w:szCs w:val="26"/>
          <w:shd w:val="clear" w:color="auto" w:fill="FFFFFF"/>
          <w:lang w:eastAsia="ru-RU"/>
        </w:rPr>
        <w:t xml:space="preserve">б) </w:t>
      </w:r>
      <w:r>
        <w:rPr>
          <w:rFonts w:ascii="Times New Roman" w:eastAsia="Times New Roman" w:hAnsi="Times New Roman" w:cs="Times New Roman"/>
          <w:sz w:val="26"/>
          <w:szCs w:val="26"/>
          <w:lang w:eastAsia="ru-RU"/>
        </w:rPr>
        <w:t>в охранных зонах гидрометеорологических станций, не входящих в перечень реперных климатических, морских береговых и устьевых станций вековой сети гидрометеорологических наблюдений, работы, указанные в подпункте "а" настоящего пункта, могут производиться только с согласия республиканских или территориальных управлений по гидрометеорологии и контролю природной среды или соответствующих органов других министерств и ведомств, в систему которых входят эти гидрометеорологические станции. Государственному комитету СССР по гидрометеорологии и контролю природной среды по согласованию с Министерством сельского хозяйства СССР и Госстроем СССР (в части проектирования и строительства) установить в 6-месячный срок порядок выполнения работ, указанных в подпункте "а" настоящего пункта, в пределах охранных зон гидрометеорологических станций.</w:t>
      </w:r>
    </w:p>
    <w:p>
      <w:pPr>
        <w:pStyle w:val="3"/>
        <w:rPr>
          <w:rFonts w:eastAsia="Times New Roman"/>
          <w:lang w:eastAsia="ru-RU"/>
        </w:rPr>
      </w:pPr>
      <w:bookmarkStart w:id="283" w:name="_Toc504495099"/>
      <w:bookmarkStart w:id="284" w:name="_Toc36136999"/>
      <w:bookmarkStart w:id="285" w:name="_Toc80780376"/>
      <w:bookmarkStart w:id="286" w:name="_Toc99015395"/>
      <w:r>
        <w:rPr>
          <w:rFonts w:eastAsia="Times New Roman"/>
          <w:lang w:eastAsia="ru-RU"/>
        </w:rPr>
        <w:t>Статья 51. Ограничения использования земельных участков и объектов капитального строительства на территории в границах санитарно-защитных зон</w:t>
      </w:r>
      <w:bookmarkEnd w:id="283"/>
      <w:bookmarkEnd w:id="284"/>
      <w:bookmarkEnd w:id="285"/>
      <w:bookmarkEnd w:id="286"/>
    </w:p>
    <w:p>
      <w:pPr>
        <w:numPr>
          <w:ilvl w:val="0"/>
          <w:numId w:val="26"/>
        </w:numPr>
        <w:tabs>
          <w:tab w:val="left" w:pos="989"/>
        </w:tabs>
        <w:autoSpaceDE w:val="0"/>
        <w:autoSpaceDN w:val="0"/>
        <w:adjustRightInd w:val="0"/>
        <w:spacing w:after="0" w:line="322" w:lineRule="exact"/>
        <w:ind w:right="10"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pPr>
        <w:numPr>
          <w:ilvl w:val="0"/>
          <w:numId w:val="26"/>
        </w:numPr>
        <w:tabs>
          <w:tab w:val="left" w:pos="989"/>
        </w:tabs>
        <w:autoSpaceDE w:val="0"/>
        <w:autoSpaceDN w:val="0"/>
        <w:adjustRightInd w:val="0"/>
        <w:spacing w:after="0" w:line="322" w:lineRule="exact"/>
        <w:ind w:right="10"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pPr>
        <w:numPr>
          <w:ilvl w:val="0"/>
          <w:numId w:val="26"/>
        </w:numPr>
        <w:tabs>
          <w:tab w:val="left" w:pos="989"/>
        </w:tabs>
        <w:autoSpaceDE w:val="0"/>
        <w:autoSpaceDN w:val="0"/>
        <w:adjustRightInd w:val="0"/>
        <w:spacing w:after="0" w:line="322" w:lineRule="exact"/>
        <w:ind w:right="19"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соответствии с указанным режимом вводятся следующие ограничения:</w:t>
      </w:r>
    </w:p>
    <w:p>
      <w:pPr>
        <w:numPr>
          <w:ilvl w:val="0"/>
          <w:numId w:val="27"/>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территории СЗЗ не допускается размещение: 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w:t>
      </w:r>
    </w:p>
    <w:p>
      <w:pPr>
        <w:numPr>
          <w:ilvl w:val="0"/>
          <w:numId w:val="27"/>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w:t>
      </w:r>
      <w:r>
        <w:rPr>
          <w:rFonts w:ascii="Times New Roman" w:eastAsia="Times New Roman" w:hAnsi="Times New Roman" w:cs="Times New Roman"/>
          <w:sz w:val="26"/>
          <w:szCs w:val="26"/>
          <w:lang w:eastAsia="ru-RU"/>
        </w:rPr>
        <w:lastRenderedPageBreak/>
        <w:t>водопроводных сооружений для подготовки и хранения питьевой воды, которые могут повлиять на качество продукции;</w:t>
      </w:r>
    </w:p>
    <w:p>
      <w:pPr>
        <w:numPr>
          <w:ilvl w:val="0"/>
          <w:numId w:val="27"/>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границах СЗЗ промышленного объекта или производства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pPr>
        <w:numPr>
          <w:ilvl w:val="0"/>
          <w:numId w:val="28"/>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pPr>
        <w:numPr>
          <w:ilvl w:val="0"/>
          <w:numId w:val="28"/>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pPr>
        <w:numPr>
          <w:ilvl w:val="0"/>
          <w:numId w:val="29"/>
        </w:numPr>
        <w:tabs>
          <w:tab w:val="left" w:pos="989"/>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pPr>
        <w:numPr>
          <w:ilvl w:val="0"/>
          <w:numId w:val="29"/>
        </w:numPr>
        <w:tabs>
          <w:tab w:val="left" w:pos="989"/>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pPr>
        <w:numPr>
          <w:ilvl w:val="0"/>
          <w:numId w:val="29"/>
        </w:numPr>
        <w:tabs>
          <w:tab w:val="left" w:pos="989"/>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Решение вопроса о жилой застройке, расположенной в СЗЗ, может решаться несколькими путями:</w:t>
      </w:r>
    </w:p>
    <w:p>
      <w:pPr>
        <w:numPr>
          <w:ilvl w:val="0"/>
          <w:numId w:val="30"/>
        </w:numPr>
        <w:tabs>
          <w:tab w:val="left" w:pos="1008"/>
        </w:tabs>
        <w:autoSpaceDE w:val="0"/>
        <w:autoSpaceDN w:val="0"/>
        <w:adjustRightInd w:val="0"/>
        <w:spacing w:after="0" w:line="322" w:lineRule="exact"/>
        <w:ind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 3.2);</w:t>
      </w:r>
    </w:p>
    <w:p>
      <w:pPr>
        <w:numPr>
          <w:ilvl w:val="0"/>
          <w:numId w:val="30"/>
        </w:numPr>
        <w:tabs>
          <w:tab w:val="left" w:pos="1008"/>
        </w:tabs>
        <w:autoSpaceDE w:val="0"/>
        <w:autoSpaceDN w:val="0"/>
        <w:adjustRightInd w:val="0"/>
        <w:spacing w:after="0" w:line="322" w:lineRule="exact"/>
        <w:ind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размер СЗЗ для действующих объектов может быть уменьшен (СанПиН 2.2.1/2.1.1.1200-03, п. 4.5).</w:t>
      </w:r>
    </w:p>
    <w:p>
      <w:pPr>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pPr>
        <w:tabs>
          <w:tab w:val="left" w:pos="989"/>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w:t>
      </w:r>
      <w:r>
        <w:rPr>
          <w:rFonts w:ascii="Times New Roman" w:eastAsia="Times New Roman" w:hAnsi="Times New Roman" w:cs="Times New Roman"/>
          <w:sz w:val="26"/>
          <w:szCs w:val="26"/>
          <w:lang w:eastAsia="ru-RU"/>
        </w:rPr>
        <w:tab/>
        <w:t>Изменение размера санитарно-защитной зоны для предприятий III,</w:t>
      </w:r>
      <w:r>
        <w:rPr>
          <w:rFonts w:ascii="Times New Roman" w:eastAsia="Times New Roman" w:hAnsi="Times New Roman" w:cs="Times New Roman"/>
          <w:sz w:val="26"/>
          <w:szCs w:val="26"/>
          <w:lang w:eastAsia="ru-RU"/>
        </w:rPr>
        <w:br/>
        <w:t>IV, V классов опасности может быть изменено Главным государственным</w:t>
      </w:r>
      <w:r>
        <w:rPr>
          <w:rFonts w:ascii="Times New Roman" w:eastAsia="Times New Roman" w:hAnsi="Times New Roman" w:cs="Times New Roman"/>
          <w:sz w:val="26"/>
          <w:szCs w:val="26"/>
          <w:lang w:eastAsia="ru-RU"/>
        </w:rPr>
        <w:br/>
        <w:t>санитарным врачом Чукотского автономного округа или его заместителем в</w:t>
      </w:r>
      <w:r>
        <w:rPr>
          <w:rFonts w:ascii="Times New Roman" w:eastAsia="Times New Roman" w:hAnsi="Times New Roman" w:cs="Times New Roman"/>
          <w:sz w:val="26"/>
          <w:szCs w:val="26"/>
          <w:lang w:eastAsia="ru-RU"/>
        </w:rPr>
        <w:br/>
        <w:t>порядке, установленном СанПиН 2.2.1/2.1.1.1200-03 санитарно-</w:t>
      </w:r>
      <w:r>
        <w:rPr>
          <w:rFonts w:ascii="Times New Roman" w:eastAsia="Times New Roman" w:hAnsi="Times New Roman" w:cs="Times New Roman"/>
          <w:sz w:val="26"/>
          <w:szCs w:val="26"/>
          <w:lang w:eastAsia="ru-RU"/>
        </w:rPr>
        <w:br/>
        <w:t>эпидемиологическими правилами и нормативами «Санитарно-защитные</w:t>
      </w:r>
      <w:r>
        <w:rPr>
          <w:rFonts w:ascii="Times New Roman" w:eastAsia="Times New Roman" w:hAnsi="Times New Roman" w:cs="Times New Roman"/>
          <w:sz w:val="26"/>
          <w:szCs w:val="26"/>
          <w:lang w:eastAsia="ru-RU"/>
        </w:rPr>
        <w:br/>
        <w:t>зоны и санитарная классификация предприятий, сооружений и иных</w:t>
      </w:r>
      <w:r>
        <w:rPr>
          <w:rFonts w:ascii="Times New Roman" w:eastAsia="Times New Roman" w:hAnsi="Times New Roman" w:cs="Times New Roman"/>
          <w:sz w:val="26"/>
          <w:szCs w:val="26"/>
          <w:lang w:eastAsia="ru-RU"/>
        </w:rPr>
        <w:br/>
        <w:t>объектов». Изменение размера санитарно-защитной зоны для предприятий I</w:t>
      </w:r>
      <w:r>
        <w:rPr>
          <w:rFonts w:ascii="Times New Roman" w:eastAsia="Times New Roman" w:hAnsi="Times New Roman" w:cs="Times New Roman"/>
          <w:sz w:val="26"/>
          <w:szCs w:val="26"/>
          <w:lang w:eastAsia="ru-RU"/>
        </w:rPr>
        <w:br/>
        <w:t xml:space="preserve">и </w:t>
      </w:r>
      <w:r>
        <w:rPr>
          <w:rFonts w:ascii="Times New Roman" w:eastAsia="Times New Roman" w:hAnsi="Times New Roman" w:cs="Times New Roman"/>
          <w:sz w:val="26"/>
          <w:szCs w:val="26"/>
          <w:lang w:val="en-US" w:eastAsia="ru-RU"/>
        </w:rPr>
        <w:t>II</w:t>
      </w:r>
      <w:r>
        <w:rPr>
          <w:rFonts w:ascii="Times New Roman" w:eastAsia="Times New Roman" w:hAnsi="Times New Roman" w:cs="Times New Roman"/>
          <w:sz w:val="26"/>
          <w:szCs w:val="26"/>
          <w:lang w:eastAsia="ru-RU"/>
        </w:rPr>
        <w:t xml:space="preserve"> классов опасности может быть изменено по решению Главного</w:t>
      </w:r>
      <w:r>
        <w:rPr>
          <w:rFonts w:ascii="Times New Roman" w:eastAsia="Times New Roman" w:hAnsi="Times New Roman" w:cs="Times New Roman"/>
          <w:sz w:val="26"/>
          <w:szCs w:val="26"/>
          <w:lang w:eastAsia="ru-RU"/>
        </w:rPr>
        <w:br/>
        <w:t>государственного санитарного врача Российской Федерации или его заместителя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pPr>
        <w:autoSpaceDE w:val="0"/>
        <w:autoSpaceDN w:val="0"/>
        <w:adjustRightInd w:val="0"/>
        <w:spacing w:after="0" w:line="322" w:lineRule="exact"/>
        <w:ind w:right="10"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8. Для линейных объектов инженерной инфраструктуры устанавливаются санитарные разрывы, размеры и режимы использования которых также устанавливается СанПиН 2.2.1/2.1.1.1200-03 и Нормативами градостроительного проектирования Чукотского автономного округа.</w:t>
      </w:r>
    </w:p>
    <w:p>
      <w:pPr>
        <w:tabs>
          <w:tab w:val="left" w:pos="1080"/>
        </w:tabs>
        <w:suppressAutoHyphens/>
        <w:spacing w:after="0" w:line="240" w:lineRule="auto"/>
        <w:ind w:firstLine="709"/>
        <w:jc w:val="both"/>
        <w:rPr>
          <w:rFonts w:ascii="Times New Roman" w:eastAsia="MS Mincho" w:hAnsi="Times New Roman" w:cs="Times New Roman"/>
          <w:sz w:val="24"/>
          <w:szCs w:val="24"/>
          <w:lang w:eastAsia="ar-SA"/>
        </w:rPr>
      </w:pPr>
    </w:p>
    <w:p>
      <w:pPr>
        <w:pStyle w:val="3"/>
        <w:rPr>
          <w:rFonts w:eastAsia="Times New Roman"/>
          <w:lang w:eastAsia="ru-RU"/>
        </w:rPr>
      </w:pPr>
      <w:bookmarkStart w:id="287" w:name="_Toc80780377"/>
      <w:bookmarkStart w:id="288" w:name="_Toc99015396"/>
      <w:r>
        <w:rPr>
          <w:rFonts w:eastAsia="Times New Roman"/>
          <w:lang w:eastAsia="ru-RU"/>
        </w:rPr>
        <w:t>Статья 52. Ограничения использования земельных участков и объектов капитального строительства на территории охранных зон трубопроводов</w:t>
      </w:r>
      <w:bookmarkEnd w:id="287"/>
      <w:bookmarkEnd w:id="288"/>
    </w:p>
    <w:p>
      <w:pPr>
        <w:numPr>
          <w:ilvl w:val="0"/>
          <w:numId w:val="20"/>
        </w:numPr>
        <w:tabs>
          <w:tab w:val="left" w:pos="994"/>
        </w:tabs>
        <w:autoSpaceDE w:val="0"/>
        <w:autoSpaceDN w:val="0"/>
        <w:adjustRightInd w:val="0"/>
        <w:spacing w:after="0" w:line="322" w:lineRule="exact"/>
        <w:ind w:right="5"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Ограничения использования земельных участков и объектов капитального строительства на территории охранных зон трубопроводов устанавливаются в соответствии со следующими нормативными документами:</w:t>
      </w:r>
    </w:p>
    <w:p>
      <w:pPr>
        <w:autoSpaceDE w:val="0"/>
        <w:autoSpaceDN w:val="0"/>
        <w:adjustRightInd w:val="0"/>
        <w:spacing w:after="0" w:line="322" w:lineRule="exact"/>
        <w:ind w:right="5"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СП 42.13330.2016. «Свод правил. Градостроительство. Планировка и застройка городских и сельских поселений. Актуализированная редакция СНиП 2.07.01-89*»;</w:t>
      </w:r>
    </w:p>
    <w:p>
      <w:pPr>
        <w:autoSpaceDE w:val="0"/>
        <w:autoSpaceDN w:val="0"/>
        <w:adjustRightInd w:val="0"/>
        <w:spacing w:after="0" w:line="322" w:lineRule="exact"/>
        <w:ind w:left="72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СП 36.13330 «Магистральные трубопроводы»;</w:t>
      </w:r>
    </w:p>
    <w:p>
      <w:pPr>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СанПиН 2.2.1/2.1.1.1200-03 «Санитарно-защитные зоны и санитарная классификация предприятий, сооружений и иных объектов»;</w:t>
      </w:r>
    </w:p>
    <w:p>
      <w:pPr>
        <w:autoSpaceDE w:val="0"/>
        <w:autoSpaceDN w:val="0"/>
        <w:adjustRightInd w:val="0"/>
        <w:spacing w:after="0" w:line="322" w:lineRule="exact"/>
        <w:ind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Способы прокладки магистральных трубопроводов, характеристики охранных зон, ограничения охранных зон и другие параметры устанавливаются в соответствии со СНиП 2.05.06-85 (2000) и Постановлением Госгортехнадзора Российской Федерации № 9 от 22.04.1992 «Правила охраны магистральных трубопроводов».</w:t>
      </w:r>
    </w:p>
    <w:p>
      <w:pPr>
        <w:numPr>
          <w:ilvl w:val="0"/>
          <w:numId w:val="21"/>
        </w:numPr>
        <w:tabs>
          <w:tab w:val="left" w:pos="994"/>
        </w:tabs>
        <w:autoSpaceDE w:val="0"/>
        <w:autoSpaceDN w:val="0"/>
        <w:adjustRightInd w:val="0"/>
        <w:spacing w:after="0" w:line="322" w:lineRule="exact"/>
        <w:ind w:left="715"/>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охранных зонах трубопроводов запрещается:</w:t>
      </w:r>
    </w:p>
    <w:p>
      <w:pPr>
        <w:numPr>
          <w:ilvl w:val="0"/>
          <w:numId w:val="22"/>
        </w:numPr>
        <w:tabs>
          <w:tab w:val="left" w:pos="1013"/>
        </w:tabs>
        <w:autoSpaceDE w:val="0"/>
        <w:autoSpaceDN w:val="0"/>
        <w:adjustRightInd w:val="0"/>
        <w:spacing w:before="5" w:after="0" w:line="322" w:lineRule="exact"/>
        <w:ind w:right="10"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перемещать, засыпать и ломать опознавательные и сигнальные знаки, контрольно-измерительные пункты;</w:t>
      </w:r>
    </w:p>
    <w:p>
      <w:pPr>
        <w:numPr>
          <w:ilvl w:val="0"/>
          <w:numId w:val="22"/>
        </w:numPr>
        <w:tabs>
          <w:tab w:val="left" w:pos="1013"/>
        </w:tabs>
        <w:autoSpaceDE w:val="0"/>
        <w:autoSpaceDN w:val="0"/>
        <w:adjustRightInd w:val="0"/>
        <w:spacing w:after="0" w:line="322" w:lineRule="exact"/>
        <w:ind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открывать люки, калитки и двери необслуживаемых усилительных пунктов кабельной связи, ограждений узлов линейной арматуры, станций катодной и </w:t>
      </w:r>
      <w:r>
        <w:rPr>
          <w:rFonts w:ascii="Times New Roman" w:eastAsia="Times New Roman" w:hAnsi="Times New Roman" w:cs="Times New Roman"/>
          <w:sz w:val="26"/>
          <w:szCs w:val="26"/>
          <w:lang w:eastAsia="ru-RU"/>
        </w:rPr>
        <w:lastRenderedPageBreak/>
        <w:t>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pPr>
        <w:numPr>
          <w:ilvl w:val="0"/>
          <w:numId w:val="22"/>
        </w:numPr>
        <w:tabs>
          <w:tab w:val="left" w:pos="1013"/>
        </w:tabs>
        <w:autoSpaceDE w:val="0"/>
        <w:autoSpaceDN w:val="0"/>
        <w:adjustRightInd w:val="0"/>
        <w:spacing w:after="0" w:line="322" w:lineRule="exact"/>
        <w:ind w:right="10"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устраивать всякого рода свалки, выливать растворы кислот, солей и щелочей;</w:t>
      </w:r>
    </w:p>
    <w:p>
      <w:pPr>
        <w:numPr>
          <w:ilvl w:val="0"/>
          <w:numId w:val="22"/>
        </w:numPr>
        <w:tabs>
          <w:tab w:val="left" w:pos="1013"/>
        </w:tabs>
        <w:autoSpaceDE w:val="0"/>
        <w:autoSpaceDN w:val="0"/>
        <w:adjustRightInd w:val="0"/>
        <w:spacing w:after="0" w:line="322" w:lineRule="exact"/>
        <w:ind w:right="10" w:firstLine="715"/>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pPr>
        <w:numPr>
          <w:ilvl w:val="0"/>
          <w:numId w:val="23"/>
        </w:numPr>
        <w:tabs>
          <w:tab w:val="left" w:pos="1013"/>
        </w:tabs>
        <w:autoSpaceDE w:val="0"/>
        <w:autoSpaceDN w:val="0"/>
        <w:adjustRightInd w:val="0"/>
        <w:spacing w:after="0" w:line="322" w:lineRule="exact"/>
        <w:ind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бросать якоря, проходить с отданными якорями, цепями, лотами, волокушами и тралами, производить дноуглубительные и землечерпальные работы;</w:t>
      </w:r>
    </w:p>
    <w:p>
      <w:pPr>
        <w:numPr>
          <w:ilvl w:val="0"/>
          <w:numId w:val="23"/>
        </w:numPr>
        <w:tabs>
          <w:tab w:val="left" w:pos="1013"/>
        </w:tabs>
        <w:autoSpaceDE w:val="0"/>
        <w:autoSpaceDN w:val="0"/>
        <w:adjustRightInd w:val="0"/>
        <w:spacing w:after="0" w:line="322" w:lineRule="exact"/>
        <w:ind w:firstLine="70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разводить огонь и размещать какие-либо открытые или закрытые источники огня.</w:t>
      </w:r>
    </w:p>
    <w:p>
      <w:pPr>
        <w:tabs>
          <w:tab w:val="left" w:pos="984"/>
        </w:tabs>
        <w:autoSpaceDE w:val="0"/>
        <w:autoSpaceDN w:val="0"/>
        <w:adjustRightInd w:val="0"/>
        <w:spacing w:after="0" w:line="322" w:lineRule="exact"/>
        <w:ind w:firstLine="701"/>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ab/>
        <w:t>В охранных зонах трубопроводов без письменного разрешения</w:t>
      </w:r>
      <w:r>
        <w:rPr>
          <w:rFonts w:ascii="Times New Roman" w:eastAsia="Times New Roman" w:hAnsi="Times New Roman" w:cs="Times New Roman"/>
          <w:sz w:val="26"/>
          <w:szCs w:val="26"/>
          <w:lang w:eastAsia="ru-RU"/>
        </w:rPr>
        <w:br/>
        <w:t>предприятий трубопроводного транспорта запрещается:</w:t>
      </w:r>
    </w:p>
    <w:p>
      <w:pPr>
        <w:numPr>
          <w:ilvl w:val="0"/>
          <w:numId w:val="24"/>
        </w:numPr>
        <w:tabs>
          <w:tab w:val="left" w:pos="1018"/>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возводить любые постройки и сооружения;</w:t>
      </w:r>
    </w:p>
    <w:p>
      <w:pPr>
        <w:numPr>
          <w:ilvl w:val="0"/>
          <w:numId w:val="24"/>
        </w:numPr>
        <w:tabs>
          <w:tab w:val="left" w:pos="1018"/>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pPr>
        <w:numPr>
          <w:ilvl w:val="0"/>
          <w:numId w:val="24"/>
        </w:numPr>
        <w:tabs>
          <w:tab w:val="left" w:pos="1018"/>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сооружать проезды и переезды через трассы трубопроводов;</w:t>
      </w:r>
    </w:p>
    <w:p>
      <w:pPr>
        <w:numPr>
          <w:ilvl w:val="0"/>
          <w:numId w:val="24"/>
        </w:numPr>
        <w:tabs>
          <w:tab w:val="left" w:pos="1018"/>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устраивать стоянки автомобильного транспорта, тракторов и механизмов;</w:t>
      </w:r>
    </w:p>
    <w:p>
      <w:pPr>
        <w:numPr>
          <w:ilvl w:val="0"/>
          <w:numId w:val="24"/>
        </w:numPr>
        <w:tabs>
          <w:tab w:val="left" w:pos="1018"/>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размещать сады и огороды;</w:t>
      </w:r>
    </w:p>
    <w:p>
      <w:pPr>
        <w:numPr>
          <w:ilvl w:val="0"/>
          <w:numId w:val="24"/>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производить мелиоративные земляные работы, сооружать оросительные и осушительные системы;</w:t>
      </w:r>
    </w:p>
    <w:p>
      <w:pPr>
        <w:numPr>
          <w:ilvl w:val="0"/>
          <w:numId w:val="24"/>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pPr>
        <w:numPr>
          <w:ilvl w:val="0"/>
          <w:numId w:val="24"/>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pPr>
        <w:tabs>
          <w:tab w:val="left" w:pos="994"/>
        </w:tabs>
        <w:autoSpaceDE w:val="0"/>
        <w:autoSpaceDN w:val="0"/>
        <w:adjustRightInd w:val="0"/>
        <w:spacing w:after="0" w:line="322" w:lineRule="exact"/>
        <w:ind w:left="71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w:t>
      </w:r>
      <w:r>
        <w:rPr>
          <w:rFonts w:ascii="Times New Roman" w:eastAsia="Times New Roman" w:hAnsi="Times New Roman" w:cs="Times New Roman"/>
          <w:sz w:val="26"/>
          <w:szCs w:val="26"/>
          <w:lang w:eastAsia="ru-RU"/>
        </w:rPr>
        <w:tab/>
        <w:t>Предприятиям трубопроводного транспорта разрешается:</w:t>
      </w:r>
    </w:p>
    <w:p>
      <w:pPr>
        <w:numPr>
          <w:ilvl w:val="0"/>
          <w:numId w:val="25"/>
        </w:numPr>
        <w:tabs>
          <w:tab w:val="left" w:pos="1018"/>
        </w:tabs>
        <w:autoSpaceDE w:val="0"/>
        <w:autoSpaceDN w:val="0"/>
        <w:adjustRightInd w:val="0"/>
        <w:spacing w:after="0" w:line="322" w:lineRule="exact"/>
        <w:ind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pPr>
        <w:numPr>
          <w:ilvl w:val="0"/>
          <w:numId w:val="25"/>
        </w:numPr>
        <w:tabs>
          <w:tab w:val="left" w:pos="1018"/>
        </w:tabs>
        <w:autoSpaceDE w:val="0"/>
        <w:autoSpaceDN w:val="0"/>
        <w:adjustRightInd w:val="0"/>
        <w:spacing w:after="0" w:line="322" w:lineRule="exact"/>
        <w:ind w:right="5"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pPr>
        <w:numPr>
          <w:ilvl w:val="0"/>
          <w:numId w:val="25"/>
        </w:numPr>
        <w:tabs>
          <w:tab w:val="left" w:pos="1018"/>
        </w:tabs>
        <w:autoSpaceDE w:val="0"/>
        <w:autoSpaceDN w:val="0"/>
        <w:adjustRightInd w:val="0"/>
        <w:spacing w:after="0" w:line="322" w:lineRule="exact"/>
        <w:ind w:right="10" w:firstLine="71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pPr>
        <w:tabs>
          <w:tab w:val="left" w:pos="1080"/>
        </w:tabs>
        <w:suppressAutoHyphens/>
        <w:spacing w:after="0" w:line="240" w:lineRule="auto"/>
        <w:ind w:firstLine="709"/>
        <w:jc w:val="both"/>
        <w:rPr>
          <w:rFonts w:ascii="Times New Roman" w:eastAsia="MS Mincho" w:hAnsi="Times New Roman" w:cs="Times New Roman"/>
          <w:sz w:val="24"/>
          <w:szCs w:val="24"/>
          <w:lang w:eastAsia="ar-SA"/>
        </w:rPr>
      </w:pPr>
    </w:p>
    <w:p>
      <w:pPr>
        <w:pStyle w:val="3"/>
      </w:pPr>
      <w:bookmarkStart w:id="289" w:name="_Toc80780378"/>
      <w:bookmarkStart w:id="290" w:name="_Toc99015397"/>
      <w:r>
        <w:t>Статья 53. Ограничения использования земельных участков и объектов капитального строительства на территории в границах охранных зон стационарных пунктов наблюдений за состоянием окружающей природной среды, ее загрязнением</w:t>
      </w:r>
      <w:bookmarkEnd w:id="289"/>
      <w:bookmarkEnd w:id="290"/>
    </w:p>
    <w:p>
      <w:pPr>
        <w:pStyle w:val="Style88"/>
        <w:widowControl/>
        <w:tabs>
          <w:tab w:val="left" w:pos="989"/>
        </w:tabs>
        <w:ind w:right="10" w:firstLine="709"/>
        <w:rPr>
          <w:rStyle w:val="FontStyle104"/>
        </w:rPr>
      </w:pPr>
      <w:r>
        <w:rPr>
          <w:rStyle w:val="FontStyle104"/>
        </w:rPr>
        <w:t>На территории охранных зон стационарных пунктов наблюдений за состоянием окружающей природной среды и ее загрязнением, в соответствии с постановлением Правительства Российской Федерации №972 от 27 августа 1999 года</w:t>
      </w:r>
      <w:r>
        <w:rPr>
          <w:sz w:val="26"/>
          <w:szCs w:val="26"/>
        </w:rPr>
        <w:t xml:space="preserve"> «</w:t>
      </w:r>
      <w:r>
        <w:rPr>
          <w:rStyle w:val="FontStyle104"/>
        </w:rPr>
        <w:t>Об утверждении Положения о создании охранных зон стационарных пунктов наблюдений за состоянием окружающей природной среды, ее загрязнением», устанавливается специальный режим использования земельных участков и объектов капитального строительства.</w:t>
      </w:r>
    </w:p>
    <w:p>
      <w:pPr>
        <w:pStyle w:val="Style88"/>
        <w:widowControl/>
        <w:tabs>
          <w:tab w:val="left" w:pos="989"/>
        </w:tabs>
        <w:ind w:right="10" w:firstLine="709"/>
        <w:rPr>
          <w:rStyle w:val="FontStyle104"/>
        </w:rPr>
      </w:pPr>
      <w:r>
        <w:rPr>
          <w:rStyle w:val="FontStyle104"/>
        </w:rPr>
        <w:t>Стационарные пункты наблюдений за состоянием окружающей природной среды, ее загрязнением, входят в государственную наблюдательную сеть, относятся к федеральной собственности и находятся под охраной государства.</w:t>
      </w:r>
    </w:p>
    <w:p>
      <w:pPr>
        <w:pStyle w:val="Style88"/>
        <w:widowControl/>
        <w:tabs>
          <w:tab w:val="left" w:pos="989"/>
        </w:tabs>
        <w:ind w:right="10" w:firstLine="709"/>
        <w:rPr>
          <w:rStyle w:val="FontStyle104"/>
        </w:rPr>
      </w:pPr>
      <w:r>
        <w:rPr>
          <w:rStyle w:val="FontStyle104"/>
        </w:rPr>
        <w:t>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200 метров во все стороны.</w:t>
      </w:r>
    </w:p>
    <w:p>
      <w:pPr>
        <w:pStyle w:val="Style88"/>
        <w:widowControl/>
        <w:tabs>
          <w:tab w:val="left" w:pos="989"/>
        </w:tabs>
        <w:ind w:right="10" w:firstLine="709"/>
        <w:rPr>
          <w:rStyle w:val="FontStyle104"/>
        </w:rPr>
      </w:pPr>
      <w:r>
        <w:rPr>
          <w:rStyle w:val="FontStyle104"/>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pPr>
        <w:pStyle w:val="Style88"/>
        <w:widowControl/>
        <w:tabs>
          <w:tab w:val="left" w:pos="989"/>
        </w:tabs>
        <w:ind w:right="10" w:firstLine="709"/>
        <w:rPr>
          <w:rStyle w:val="FontStyle104"/>
        </w:rPr>
      </w:pPr>
      <w:r>
        <w:rPr>
          <w:rStyle w:val="FontStyle10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устанавливаются сервитуты в порядке, определенном законодательством Российской Федерации.</w:t>
      </w:r>
    </w:p>
    <w:p>
      <w:pPr>
        <w:pStyle w:val="Style88"/>
        <w:widowControl/>
        <w:tabs>
          <w:tab w:val="left" w:pos="989"/>
        </w:tabs>
        <w:ind w:right="10" w:firstLine="709"/>
        <w:rPr>
          <w:rStyle w:val="FontStyle104"/>
          <w:sz w:val="24"/>
          <w:szCs w:val="24"/>
        </w:rPr>
      </w:pPr>
    </w:p>
    <w:p>
      <w:pPr>
        <w:ind w:left="-240" w:firstLine="600"/>
        <w:jc w:val="both"/>
        <w:rPr>
          <w:rFonts w:cs="Arial"/>
          <w:b/>
          <w:bCs/>
          <w:kern w:val="1"/>
          <w:sz w:val="26"/>
          <w:szCs w:val="26"/>
        </w:rPr>
      </w:pPr>
    </w:p>
    <w:sectPr>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Kudriashov">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a8"/>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Pr>
        <w:rStyle w:val="aff4"/>
        <w:noProof/>
      </w:rPr>
      <w:t>4</w:t>
    </w:r>
    <w:r>
      <w:rPr>
        <w:rStyle w:val="aff4"/>
      </w:rPr>
      <w:fldChar w:fldCharType="end"/>
    </w:r>
  </w:p>
  <w:p>
    <w:pPr>
      <w:pStyle w:val="a8"/>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724636"/>
      <w:docPartObj>
        <w:docPartGallery w:val="Page Numbers (Bottom of Page)"/>
        <w:docPartUnique/>
      </w:docPartObj>
    </w:sdtPr>
    <w:sdtContent>
      <w:tbl>
        <w:tblPr>
          <w:tblW w:w="8237" w:type="dxa"/>
          <w:jc w:val="center"/>
          <w:tblCellMar>
            <w:left w:w="28" w:type="dxa"/>
            <w:right w:w="28" w:type="dxa"/>
          </w:tblCellMar>
          <w:tblLook w:val="0000" w:firstRow="0" w:lastRow="0" w:firstColumn="0" w:lastColumn="0" w:noHBand="0" w:noVBand="0"/>
        </w:tblPr>
        <w:tblGrid>
          <w:gridCol w:w="426"/>
          <w:gridCol w:w="7811"/>
        </w:tblGrid>
        <w:tr>
          <w:trPr>
            <w:cantSplit/>
            <w:jc w:val="center"/>
          </w:trPr>
          <w:tc>
            <w:tcPr>
              <w:tcW w:w="426" w:type="dxa"/>
              <w:vAlign w:val="center"/>
            </w:tcPr>
            <w:p>
              <w:pPr>
                <w:tabs>
                  <w:tab w:val="center" w:pos="4677"/>
                  <w:tab w:val="right" w:pos="9355"/>
                </w:tabs>
                <w:spacing w:after="0"/>
                <w:jc w:val="center"/>
              </w:pPr>
            </w:p>
          </w:tc>
          <w:tc>
            <w:tcPr>
              <w:tcW w:w="7811" w:type="dxa"/>
              <w:vAlign w:val="center"/>
            </w:tcPr>
            <w:p>
              <w:pPr>
                <w:spacing w:after="0"/>
                <w:jc w:val="center"/>
                <w:rPr>
                  <w:color w:val="000000"/>
                  <w:sz w:val="18"/>
                  <w:szCs w:val="18"/>
                </w:rPr>
              </w:pPr>
            </w:p>
          </w:tc>
        </w:tr>
      </w:tbl>
      <w:p>
        <w:pPr>
          <w:pStyle w:val="a8"/>
          <w:jc w:val="right"/>
        </w:pPr>
        <w:r>
          <w:fldChar w:fldCharType="begin"/>
        </w:r>
        <w:r>
          <w:instrText>PAGE   \* MERGEFORMAT</w:instrText>
        </w:r>
        <w:r>
          <w:fldChar w:fldCharType="separate"/>
        </w:r>
        <w:r>
          <w:rPr>
            <w:noProof/>
          </w:rPr>
          <w:t>137</w:t>
        </w:r>
        <w:r>
          <w:fldChar w:fldCharType="end"/>
        </w:r>
      </w:p>
      <w:p>
        <w:pPr>
          <w:pStyle w:val="a8"/>
          <w:jc w:val="right"/>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a6"/>
      <w:rPr>
        <w:rFonts w:ascii="Times New Roman" w:hAnsi="Times New Roman" w:cs="Times New Roman"/>
        <w:sz w:val="16"/>
        <w:szCs w:val="16"/>
      </w:rPr>
    </w:pPr>
    <w:r>
      <w:rPr>
        <w:noProof/>
        <w:lang w:eastAsia="ru-RU"/>
      </w:rPr>
      <w:drawing>
        <wp:anchor distT="0" distB="0" distL="114300" distR="114300" simplePos="0" relativeHeight="251658240" behindDoc="0" locked="0" layoutInCell="1" allowOverlap="1">
          <wp:simplePos x="0" y="0"/>
          <wp:positionH relativeFrom="column">
            <wp:posOffset>3810</wp:posOffset>
          </wp:positionH>
          <wp:positionV relativeFrom="paragraph">
            <wp:posOffset>-9525</wp:posOffset>
          </wp:positionV>
          <wp:extent cx="1750612" cy="399688"/>
          <wp:effectExtent l="0" t="0" r="2540" b="635"/>
          <wp:wrapSquare wrapText="bothSides"/>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9"/>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50612" cy="399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t xml:space="preserve">                                       </w:t>
    </w:r>
    <w:r>
      <w:rPr>
        <w:rFonts w:ascii="Times New Roman" w:hAnsi="Times New Roman" w:cs="Times New Roman"/>
        <w:sz w:val="16"/>
        <w:szCs w:val="16"/>
      </w:rPr>
      <w:t>ПУБЛИЧНОЕ АКЦИОНЕРНОЕ ОБЩЕСТВО</w:t>
    </w:r>
  </w:p>
  <w:p>
    <w:pPr>
      <w:pStyle w:val="a6"/>
      <w:rPr>
        <w:rFonts w:ascii="Times New Roman" w:hAnsi="Times New Roman" w:cs="Times New Roman"/>
        <w:b/>
        <w:bCs/>
        <w:sz w:val="16"/>
        <w:szCs w:val="16"/>
      </w:rPr>
    </w:pPr>
    <w:r>
      <w:rPr>
        <w:rFonts w:ascii="Times New Roman" w:hAnsi="Times New Roman" w:cs="Times New Roman"/>
        <w:sz w:val="16"/>
        <w:szCs w:val="16"/>
      </w:rPr>
      <w:t xml:space="preserve">                                                </w:t>
    </w:r>
    <w:r>
      <w:rPr>
        <w:rFonts w:ascii="Times New Roman" w:hAnsi="Times New Roman" w:cs="Times New Roman"/>
        <w:b/>
        <w:bCs/>
        <w:sz w:val="16"/>
        <w:szCs w:val="16"/>
      </w:rPr>
      <w:t>«ОНХП»</w:t>
    </w:r>
  </w:p>
  <w:p>
    <w:pPr>
      <w:pStyle w:val="a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2"/>
      <w:numFmt w:val="decimal"/>
      <w:lvlText w:val="%1."/>
      <w:lvlJc w:val="left"/>
      <w:pPr>
        <w:tabs>
          <w:tab w:val="num" w:pos="0"/>
        </w:tabs>
        <w:ind w:left="540" w:hanging="540"/>
      </w:pPr>
      <w:rPr>
        <w:rFonts w:cs="Times New Roman" w:hint="default"/>
        <w:b/>
      </w:rPr>
    </w:lvl>
    <w:lvl w:ilvl="1">
      <w:start w:val="9"/>
      <w:numFmt w:val="decimal"/>
      <w:lvlText w:val="%1.%2."/>
      <w:lvlJc w:val="left"/>
      <w:pPr>
        <w:tabs>
          <w:tab w:val="num" w:pos="0"/>
        </w:tabs>
        <w:ind w:left="540" w:hanging="540"/>
      </w:pPr>
      <w:rPr>
        <w:rFonts w:eastAsia="Calibri" w:cs="Times New Roman" w:hint="default"/>
        <w:bCs/>
      </w:rPr>
    </w:lvl>
    <w:lvl w:ilvl="2">
      <w:start w:val="2"/>
      <w:numFmt w:val="decimal"/>
      <w:lvlText w:val="%1.%2.%3."/>
      <w:lvlJc w:val="left"/>
      <w:pPr>
        <w:tabs>
          <w:tab w:val="num" w:pos="0"/>
        </w:tabs>
        <w:ind w:left="720" w:hanging="720"/>
      </w:pPr>
      <w:rPr>
        <w:rFonts w:eastAsia="Calibri" w:cs="Times New Roman" w:hint="default"/>
        <w:bCs/>
      </w:rPr>
    </w:lvl>
    <w:lvl w:ilvl="3">
      <w:start w:val="1"/>
      <w:numFmt w:val="decimal"/>
      <w:lvlText w:val="%1.%2.%3.%4."/>
      <w:lvlJc w:val="left"/>
      <w:pPr>
        <w:tabs>
          <w:tab w:val="num" w:pos="0"/>
        </w:tabs>
        <w:ind w:left="720" w:hanging="720"/>
      </w:pPr>
      <w:rPr>
        <w:rFonts w:eastAsia="Calibri" w:cs="Times New Roman" w:hint="default"/>
        <w:bCs/>
      </w:rPr>
    </w:lvl>
    <w:lvl w:ilvl="4">
      <w:start w:val="1"/>
      <w:numFmt w:val="decimal"/>
      <w:lvlText w:val="%1.%2.%3.%4.%5."/>
      <w:lvlJc w:val="left"/>
      <w:pPr>
        <w:tabs>
          <w:tab w:val="num" w:pos="0"/>
        </w:tabs>
        <w:ind w:left="1080" w:hanging="1080"/>
      </w:pPr>
      <w:rPr>
        <w:rFonts w:eastAsia="Calibri" w:cs="Times New Roman" w:hint="default"/>
        <w:bCs/>
      </w:rPr>
    </w:lvl>
    <w:lvl w:ilvl="5">
      <w:start w:val="1"/>
      <w:numFmt w:val="decimal"/>
      <w:lvlText w:val="%1.%2.%3.%4.%5.%6."/>
      <w:lvlJc w:val="left"/>
      <w:pPr>
        <w:tabs>
          <w:tab w:val="num" w:pos="0"/>
        </w:tabs>
        <w:ind w:left="1080" w:hanging="1080"/>
      </w:pPr>
      <w:rPr>
        <w:rFonts w:eastAsia="Calibri" w:cs="Times New Roman" w:hint="default"/>
        <w:bCs/>
      </w:rPr>
    </w:lvl>
    <w:lvl w:ilvl="6">
      <w:start w:val="1"/>
      <w:numFmt w:val="decimal"/>
      <w:lvlText w:val="%1.%2.%3.%4.%5.%6.%7."/>
      <w:lvlJc w:val="left"/>
      <w:pPr>
        <w:tabs>
          <w:tab w:val="num" w:pos="0"/>
        </w:tabs>
        <w:ind w:left="1440" w:hanging="1440"/>
      </w:pPr>
      <w:rPr>
        <w:rFonts w:eastAsia="Calibri" w:cs="Times New Roman" w:hint="default"/>
        <w:bCs/>
      </w:rPr>
    </w:lvl>
    <w:lvl w:ilvl="7">
      <w:start w:val="1"/>
      <w:numFmt w:val="decimal"/>
      <w:lvlText w:val="%1.%2.%3.%4.%5.%6.%7.%8."/>
      <w:lvlJc w:val="left"/>
      <w:pPr>
        <w:tabs>
          <w:tab w:val="num" w:pos="0"/>
        </w:tabs>
        <w:ind w:left="1440" w:hanging="1440"/>
      </w:pPr>
      <w:rPr>
        <w:rFonts w:eastAsia="Calibri" w:cs="Times New Roman" w:hint="default"/>
        <w:bCs/>
      </w:rPr>
    </w:lvl>
    <w:lvl w:ilvl="8">
      <w:start w:val="1"/>
      <w:numFmt w:val="decimal"/>
      <w:lvlText w:val="%1.%2.%3.%4.%5.%6.%7.%8.%9."/>
      <w:lvlJc w:val="left"/>
      <w:pPr>
        <w:tabs>
          <w:tab w:val="num" w:pos="0"/>
        </w:tabs>
        <w:ind w:left="1800" w:hanging="1800"/>
      </w:pPr>
      <w:rPr>
        <w:rFonts w:eastAsia="Calibri" w:cs="Times New Roman" w:hint="default"/>
        <w:bCs/>
      </w:rPr>
    </w:lvl>
  </w:abstractNum>
  <w:abstractNum w:abstractNumId="1" w15:restartNumberingAfterBreak="0">
    <w:nsid w:val="00000003"/>
    <w:multiLevelType w:val="singleLevel"/>
    <w:tmpl w:val="00000003"/>
    <w:name w:val="WW8Num3"/>
    <w:lvl w:ilvl="0">
      <w:start w:val="3000"/>
      <w:numFmt w:val="decimal"/>
      <w:lvlText w:val="%1"/>
      <w:lvlJc w:val="left"/>
      <w:pPr>
        <w:tabs>
          <w:tab w:val="num" w:pos="0"/>
        </w:tabs>
        <w:ind w:left="840" w:hanging="480"/>
      </w:pPr>
      <w:rPr>
        <w:rFonts w:cs="Times New Roman" w:hint="default"/>
      </w:rPr>
    </w:lvl>
  </w:abstractNum>
  <w:abstractNum w:abstractNumId="2" w15:restartNumberingAfterBreak="0">
    <w:nsid w:val="00000006"/>
    <w:multiLevelType w:val="multilevel"/>
    <w:tmpl w:val="00000006"/>
    <w:name w:val="WW8Num6"/>
    <w:lvl w:ilvl="0">
      <w:start w:val="2"/>
      <w:numFmt w:val="decimal"/>
      <w:lvlText w:val="%1"/>
      <w:lvlJc w:val="left"/>
      <w:pPr>
        <w:tabs>
          <w:tab w:val="num" w:pos="0"/>
        </w:tabs>
        <w:ind w:left="480" w:hanging="480"/>
      </w:pPr>
      <w:rPr>
        <w:rFonts w:cs="Times New Roman" w:hint="default"/>
      </w:rPr>
    </w:lvl>
    <w:lvl w:ilvl="1">
      <w:start w:val="7"/>
      <w:numFmt w:val="decimal"/>
      <w:lvlText w:val="%1.%2"/>
      <w:lvlJc w:val="left"/>
      <w:pPr>
        <w:tabs>
          <w:tab w:val="num" w:pos="0"/>
        </w:tabs>
        <w:ind w:left="480" w:hanging="480"/>
      </w:pPr>
      <w:rPr>
        <w:rFonts w:cs="Times New Roman" w:hint="default"/>
      </w:rPr>
    </w:lvl>
    <w:lvl w:ilvl="2">
      <w:start w:val="2"/>
      <w:numFmt w:val="decimal"/>
      <w:lvlText w:val="%1.%2.%3"/>
      <w:lvlJc w:val="left"/>
      <w:pPr>
        <w:tabs>
          <w:tab w:val="num" w:pos="0"/>
        </w:tabs>
        <w:ind w:left="720" w:hanging="720"/>
      </w:pPr>
      <w:rPr>
        <w:rFonts w:cs="Times New Roman" w:hint="default"/>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3" w15:restartNumberingAfterBreak="0">
    <w:nsid w:val="00000009"/>
    <w:multiLevelType w:val="multilevel"/>
    <w:tmpl w:val="00000009"/>
    <w:name w:val="WW8Num10"/>
    <w:lvl w:ilvl="0">
      <w:start w:val="2"/>
      <w:numFmt w:val="decimal"/>
      <w:lvlText w:val="%1."/>
      <w:lvlJc w:val="left"/>
      <w:pPr>
        <w:tabs>
          <w:tab w:val="num" w:pos="0"/>
        </w:tabs>
        <w:ind w:left="540" w:hanging="540"/>
      </w:pPr>
      <w:rPr>
        <w:rFonts w:eastAsia="Calibri" w:cs="Times New Roman" w:hint="default"/>
        <w:bCs/>
      </w:rPr>
    </w:lvl>
    <w:lvl w:ilvl="1">
      <w:start w:val="7"/>
      <w:numFmt w:val="decimal"/>
      <w:lvlText w:val="%1.%2."/>
      <w:lvlJc w:val="left"/>
      <w:pPr>
        <w:tabs>
          <w:tab w:val="num" w:pos="0"/>
        </w:tabs>
        <w:ind w:left="540" w:hanging="540"/>
      </w:pPr>
      <w:rPr>
        <w:rFonts w:eastAsia="Calibri" w:cs="Times New Roman" w:hint="default"/>
        <w:bCs/>
      </w:rPr>
    </w:lvl>
    <w:lvl w:ilvl="2">
      <w:start w:val="3"/>
      <w:numFmt w:val="decimal"/>
      <w:lvlText w:val="%1.%2.%3."/>
      <w:lvlJc w:val="left"/>
      <w:pPr>
        <w:tabs>
          <w:tab w:val="num" w:pos="0"/>
        </w:tabs>
        <w:ind w:left="720" w:hanging="720"/>
      </w:pPr>
      <w:rPr>
        <w:rFonts w:eastAsia="Calibri" w:cs="Times New Roman" w:hint="default"/>
        <w:bCs/>
      </w:rPr>
    </w:lvl>
    <w:lvl w:ilvl="3">
      <w:start w:val="1"/>
      <w:numFmt w:val="decimal"/>
      <w:lvlText w:val="%1.%2.%3.%4."/>
      <w:lvlJc w:val="left"/>
      <w:pPr>
        <w:tabs>
          <w:tab w:val="num" w:pos="0"/>
        </w:tabs>
        <w:ind w:left="720" w:hanging="720"/>
      </w:pPr>
      <w:rPr>
        <w:rFonts w:eastAsia="Calibri" w:cs="Times New Roman" w:hint="default"/>
        <w:bCs/>
      </w:rPr>
    </w:lvl>
    <w:lvl w:ilvl="4">
      <w:start w:val="1"/>
      <w:numFmt w:val="decimal"/>
      <w:lvlText w:val="%1.%2.%3.%4.%5."/>
      <w:lvlJc w:val="left"/>
      <w:pPr>
        <w:tabs>
          <w:tab w:val="num" w:pos="0"/>
        </w:tabs>
        <w:ind w:left="1080" w:hanging="1080"/>
      </w:pPr>
      <w:rPr>
        <w:rFonts w:eastAsia="Calibri" w:cs="Times New Roman" w:hint="default"/>
        <w:bCs/>
      </w:rPr>
    </w:lvl>
    <w:lvl w:ilvl="5">
      <w:start w:val="1"/>
      <w:numFmt w:val="decimal"/>
      <w:lvlText w:val="%1.%2.%3.%4.%5.%6."/>
      <w:lvlJc w:val="left"/>
      <w:pPr>
        <w:tabs>
          <w:tab w:val="num" w:pos="0"/>
        </w:tabs>
        <w:ind w:left="1080" w:hanging="1080"/>
      </w:pPr>
      <w:rPr>
        <w:rFonts w:eastAsia="Calibri" w:cs="Times New Roman" w:hint="default"/>
        <w:bCs/>
      </w:rPr>
    </w:lvl>
    <w:lvl w:ilvl="6">
      <w:start w:val="1"/>
      <w:numFmt w:val="decimal"/>
      <w:lvlText w:val="%1.%2.%3.%4.%5.%6.%7."/>
      <w:lvlJc w:val="left"/>
      <w:pPr>
        <w:tabs>
          <w:tab w:val="num" w:pos="0"/>
        </w:tabs>
        <w:ind w:left="1440" w:hanging="1440"/>
      </w:pPr>
      <w:rPr>
        <w:rFonts w:eastAsia="Calibri" w:cs="Times New Roman" w:hint="default"/>
        <w:bCs/>
      </w:rPr>
    </w:lvl>
    <w:lvl w:ilvl="7">
      <w:start w:val="1"/>
      <w:numFmt w:val="decimal"/>
      <w:lvlText w:val="%1.%2.%3.%4.%5.%6.%7.%8."/>
      <w:lvlJc w:val="left"/>
      <w:pPr>
        <w:tabs>
          <w:tab w:val="num" w:pos="0"/>
        </w:tabs>
        <w:ind w:left="1440" w:hanging="1440"/>
      </w:pPr>
      <w:rPr>
        <w:rFonts w:eastAsia="Calibri" w:cs="Times New Roman" w:hint="default"/>
        <w:bCs/>
      </w:rPr>
    </w:lvl>
    <w:lvl w:ilvl="8">
      <w:start w:val="1"/>
      <w:numFmt w:val="decimal"/>
      <w:lvlText w:val="%1.%2.%3.%4.%5.%6.%7.%8.%9."/>
      <w:lvlJc w:val="left"/>
      <w:pPr>
        <w:tabs>
          <w:tab w:val="num" w:pos="0"/>
        </w:tabs>
        <w:ind w:left="1800" w:hanging="1800"/>
      </w:pPr>
      <w:rPr>
        <w:rFonts w:eastAsia="Calibri" w:cs="Times New Roman" w:hint="default"/>
        <w:bCs/>
      </w:rPr>
    </w:lvl>
  </w:abstractNum>
  <w:abstractNum w:abstractNumId="4" w15:restartNumberingAfterBreak="0">
    <w:nsid w:val="0000000B"/>
    <w:multiLevelType w:val="multilevel"/>
    <w:tmpl w:val="0000000B"/>
    <w:name w:val="WW8Num12"/>
    <w:lvl w:ilvl="0">
      <w:start w:val="2"/>
      <w:numFmt w:val="decimal"/>
      <w:lvlText w:val="%1."/>
      <w:lvlJc w:val="left"/>
      <w:pPr>
        <w:tabs>
          <w:tab w:val="num" w:pos="0"/>
        </w:tabs>
        <w:ind w:left="540" w:hanging="540"/>
      </w:pPr>
      <w:rPr>
        <w:rFonts w:eastAsia="Calibri" w:cs="Times New Roman" w:hint="default"/>
        <w:bCs/>
      </w:rPr>
    </w:lvl>
    <w:lvl w:ilvl="1">
      <w:start w:val="1"/>
      <w:numFmt w:val="decimal"/>
      <w:lvlText w:val="%1.%2."/>
      <w:lvlJc w:val="left"/>
      <w:pPr>
        <w:tabs>
          <w:tab w:val="num" w:pos="0"/>
        </w:tabs>
        <w:ind w:left="540" w:hanging="540"/>
      </w:pPr>
      <w:rPr>
        <w:rFonts w:eastAsia="Calibri" w:cs="Times New Roman" w:hint="default"/>
        <w:bCs/>
      </w:rPr>
    </w:lvl>
    <w:lvl w:ilvl="2">
      <w:start w:val="1"/>
      <w:numFmt w:val="decimal"/>
      <w:lvlText w:val="%1.%2.%3."/>
      <w:lvlJc w:val="left"/>
      <w:pPr>
        <w:tabs>
          <w:tab w:val="num" w:pos="0"/>
        </w:tabs>
        <w:ind w:left="720" w:hanging="720"/>
      </w:pPr>
      <w:rPr>
        <w:rFonts w:eastAsia="Calibri" w:cs="Times New Roman" w:hint="default"/>
        <w:bCs/>
      </w:rPr>
    </w:lvl>
    <w:lvl w:ilvl="3">
      <w:start w:val="1"/>
      <w:numFmt w:val="decimal"/>
      <w:lvlText w:val="%1.%2.%3.%4."/>
      <w:lvlJc w:val="left"/>
      <w:pPr>
        <w:tabs>
          <w:tab w:val="num" w:pos="0"/>
        </w:tabs>
        <w:ind w:left="720" w:hanging="720"/>
      </w:pPr>
      <w:rPr>
        <w:rFonts w:eastAsia="Calibri" w:cs="Times New Roman" w:hint="default"/>
        <w:bCs/>
      </w:rPr>
    </w:lvl>
    <w:lvl w:ilvl="4">
      <w:start w:val="1"/>
      <w:numFmt w:val="decimal"/>
      <w:lvlText w:val="%1.%2.%3.%4.%5."/>
      <w:lvlJc w:val="left"/>
      <w:pPr>
        <w:tabs>
          <w:tab w:val="num" w:pos="0"/>
        </w:tabs>
        <w:ind w:left="1080" w:hanging="1080"/>
      </w:pPr>
      <w:rPr>
        <w:rFonts w:eastAsia="Calibri" w:cs="Times New Roman" w:hint="default"/>
        <w:bCs/>
      </w:rPr>
    </w:lvl>
    <w:lvl w:ilvl="5">
      <w:start w:val="1"/>
      <w:numFmt w:val="decimal"/>
      <w:lvlText w:val="%1.%2.%3.%4.%5.%6."/>
      <w:lvlJc w:val="left"/>
      <w:pPr>
        <w:tabs>
          <w:tab w:val="num" w:pos="0"/>
        </w:tabs>
        <w:ind w:left="1080" w:hanging="1080"/>
      </w:pPr>
      <w:rPr>
        <w:rFonts w:eastAsia="Calibri" w:cs="Times New Roman" w:hint="default"/>
        <w:bCs/>
      </w:rPr>
    </w:lvl>
    <w:lvl w:ilvl="6">
      <w:start w:val="1"/>
      <w:numFmt w:val="decimal"/>
      <w:lvlText w:val="%1.%2.%3.%4.%5.%6.%7."/>
      <w:lvlJc w:val="left"/>
      <w:pPr>
        <w:tabs>
          <w:tab w:val="num" w:pos="0"/>
        </w:tabs>
        <w:ind w:left="1440" w:hanging="1440"/>
      </w:pPr>
      <w:rPr>
        <w:rFonts w:eastAsia="Calibri" w:cs="Times New Roman" w:hint="default"/>
        <w:bCs/>
      </w:rPr>
    </w:lvl>
    <w:lvl w:ilvl="7">
      <w:start w:val="1"/>
      <w:numFmt w:val="decimal"/>
      <w:lvlText w:val="%1.%2.%3.%4.%5.%6.%7.%8."/>
      <w:lvlJc w:val="left"/>
      <w:pPr>
        <w:tabs>
          <w:tab w:val="num" w:pos="0"/>
        </w:tabs>
        <w:ind w:left="1440" w:hanging="1440"/>
      </w:pPr>
      <w:rPr>
        <w:rFonts w:eastAsia="Calibri" w:cs="Times New Roman" w:hint="default"/>
        <w:bCs/>
      </w:rPr>
    </w:lvl>
    <w:lvl w:ilvl="8">
      <w:start w:val="1"/>
      <w:numFmt w:val="decimal"/>
      <w:lvlText w:val="%1.%2.%3.%4.%5.%6.%7.%8.%9."/>
      <w:lvlJc w:val="left"/>
      <w:pPr>
        <w:tabs>
          <w:tab w:val="num" w:pos="0"/>
        </w:tabs>
        <w:ind w:left="1800" w:hanging="1800"/>
      </w:pPr>
      <w:rPr>
        <w:rFonts w:eastAsia="Calibri" w:cs="Times New Roman" w:hint="default"/>
        <w:bCs/>
      </w:rPr>
    </w:lvl>
  </w:abstractNum>
  <w:abstractNum w:abstractNumId="5" w15:restartNumberingAfterBreak="0">
    <w:nsid w:val="00000025"/>
    <w:multiLevelType w:val="singleLevel"/>
    <w:tmpl w:val="00000025"/>
    <w:name w:val="WW8Num37"/>
    <w:lvl w:ilvl="0">
      <w:start w:val="1"/>
      <w:numFmt w:val="bullet"/>
      <w:lvlText w:val="-"/>
      <w:lvlJc w:val="left"/>
      <w:pPr>
        <w:tabs>
          <w:tab w:val="num" w:pos="834"/>
        </w:tabs>
        <w:ind w:left="1117" w:hanging="397"/>
      </w:pPr>
      <w:rPr>
        <w:rFonts w:ascii="Symbol" w:hAnsi="Symbol"/>
      </w:rPr>
    </w:lvl>
  </w:abstractNum>
  <w:abstractNum w:abstractNumId="6" w15:restartNumberingAfterBreak="0">
    <w:nsid w:val="000A326C"/>
    <w:multiLevelType w:val="multilevel"/>
    <w:tmpl w:val="AA2E5C1A"/>
    <w:lvl w:ilvl="0">
      <w:start w:val="467"/>
      <w:numFmt w:val="decimal"/>
      <w:pStyle w:val="a"/>
      <w:lvlText w:val="%1."/>
      <w:lvlJc w:val="center"/>
      <w:pPr>
        <w:ind w:left="-141" w:firstLine="481"/>
      </w:pPr>
      <w:rPr>
        <w:rFonts w:cs="Times New Roman" w:hint="default"/>
        <w:color w:val="auto"/>
        <w:sz w:val="20"/>
      </w:rPr>
    </w:lvl>
    <w:lvl w:ilvl="1">
      <w:start w:val="1"/>
      <w:numFmt w:val="decimal"/>
      <w:isLgl/>
      <w:suff w:val="space"/>
      <w:lvlText w:val="%1.%2"/>
      <w:lvlJc w:val="left"/>
      <w:pPr>
        <w:ind w:left="0" w:firstLine="567"/>
      </w:pPr>
      <w:rPr>
        <w:rFonts w:cs="Times New Roman" w:hint="default"/>
      </w:rPr>
    </w:lvl>
    <w:lvl w:ilvl="2">
      <w:start w:val="1"/>
      <w:numFmt w:val="decimal"/>
      <w:isLgl/>
      <w:suff w:val="space"/>
      <w:lvlText w:val="%1.%2.%3"/>
      <w:lvlJc w:val="left"/>
      <w:pPr>
        <w:ind w:left="0" w:firstLine="567"/>
      </w:pPr>
      <w:rPr>
        <w:rFonts w:cs="Times New Roman" w:hint="default"/>
      </w:rPr>
    </w:lvl>
    <w:lvl w:ilvl="3">
      <w:start w:val="1"/>
      <w:numFmt w:val="decimal"/>
      <w:isLgl/>
      <w:suff w:val="space"/>
      <w:lvlText w:val="%1.%2.%3.%4"/>
      <w:lvlJc w:val="left"/>
      <w:pPr>
        <w:ind w:left="0" w:firstLine="567"/>
      </w:pPr>
      <w:rPr>
        <w:rFonts w:cs="Times New Roman" w:hint="default"/>
      </w:rPr>
    </w:lvl>
    <w:lvl w:ilvl="4">
      <w:start w:val="1"/>
      <w:numFmt w:val="decimal"/>
      <w:isLgl/>
      <w:suff w:val="space"/>
      <w:lvlText w:val="%1.%2.%3.%4.%5"/>
      <w:lvlJc w:val="left"/>
      <w:pPr>
        <w:ind w:left="0"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7" w15:restartNumberingAfterBreak="0">
    <w:nsid w:val="036C7CED"/>
    <w:multiLevelType w:val="singleLevel"/>
    <w:tmpl w:val="3BBAC4EE"/>
    <w:lvl w:ilvl="0">
      <w:start w:val="2"/>
      <w:numFmt w:val="decimal"/>
      <w:lvlText w:val="%1."/>
      <w:legacy w:legacy="1" w:legacySpace="0" w:legacyIndent="279"/>
      <w:lvlJc w:val="left"/>
      <w:rPr>
        <w:rFonts w:ascii="Times New Roman" w:hAnsi="Times New Roman" w:cs="Times New Roman" w:hint="default"/>
      </w:rPr>
    </w:lvl>
  </w:abstractNum>
  <w:abstractNum w:abstractNumId="8" w15:restartNumberingAfterBreak="0">
    <w:nsid w:val="060363F9"/>
    <w:multiLevelType w:val="hybridMultilevel"/>
    <w:tmpl w:val="1800271E"/>
    <w:lvl w:ilvl="0" w:tplc="06A68BB8">
      <w:start w:val="1"/>
      <w:numFmt w:val="bullet"/>
      <w:pStyle w:val="a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9DA2841"/>
    <w:multiLevelType w:val="hybridMultilevel"/>
    <w:tmpl w:val="708E603A"/>
    <w:lvl w:ilvl="0" w:tplc="FF58770E">
      <w:start w:val="1"/>
      <w:numFmt w:val="decimal"/>
      <w:lvlText w:val="%1."/>
      <w:lvlJc w:val="left"/>
      <w:pPr>
        <w:ind w:left="1200" w:hanging="360"/>
      </w:pPr>
      <w:rPr>
        <w:b w:val="0"/>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10" w15:restartNumberingAfterBreak="0">
    <w:nsid w:val="0C971D8B"/>
    <w:multiLevelType w:val="hybridMultilevel"/>
    <w:tmpl w:val="6BAE8DEE"/>
    <w:lvl w:ilvl="0" w:tplc="6B3A3002">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DDE3583"/>
    <w:multiLevelType w:val="singleLevel"/>
    <w:tmpl w:val="2EEC7B64"/>
    <w:lvl w:ilvl="0">
      <w:start w:val="1"/>
      <w:numFmt w:val="decimal"/>
      <w:lvlText w:val="%1)"/>
      <w:legacy w:legacy="1" w:legacySpace="0" w:legacyIndent="298"/>
      <w:lvlJc w:val="left"/>
      <w:rPr>
        <w:rFonts w:ascii="Times New Roman" w:hAnsi="Times New Roman" w:cs="Times New Roman" w:hint="default"/>
      </w:rPr>
    </w:lvl>
  </w:abstractNum>
  <w:abstractNum w:abstractNumId="12" w15:restartNumberingAfterBreak="0">
    <w:nsid w:val="105960EA"/>
    <w:multiLevelType w:val="singleLevel"/>
    <w:tmpl w:val="0CA8F2D2"/>
    <w:lvl w:ilvl="0">
      <w:start w:val="1"/>
      <w:numFmt w:val="decimal"/>
      <w:lvlText w:val="%1)"/>
      <w:legacy w:legacy="1" w:legacySpace="0" w:legacyIndent="302"/>
      <w:lvlJc w:val="left"/>
      <w:rPr>
        <w:rFonts w:ascii="Times New Roman" w:hAnsi="Times New Roman" w:cs="Times New Roman" w:hint="default"/>
      </w:rPr>
    </w:lvl>
  </w:abstractNum>
  <w:abstractNum w:abstractNumId="13" w15:restartNumberingAfterBreak="0">
    <w:nsid w:val="11692D8D"/>
    <w:multiLevelType w:val="multilevel"/>
    <w:tmpl w:val="9E72130A"/>
    <w:lvl w:ilvl="0">
      <w:start w:val="1"/>
      <w:numFmt w:val="decimal"/>
      <w:lvlText w:val="%1."/>
      <w:lvlJc w:val="left"/>
      <w:pPr>
        <w:ind w:left="1070" w:hanging="360"/>
      </w:pPr>
      <w:rPr>
        <w:rFonts w:hint="default"/>
      </w:rPr>
    </w:lvl>
    <w:lvl w:ilvl="1">
      <w:start w:val="4"/>
      <w:numFmt w:val="decimal"/>
      <w:isLgl/>
      <w:lvlText w:val="%1.%2"/>
      <w:lvlJc w:val="left"/>
      <w:pPr>
        <w:ind w:left="107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430" w:hanging="72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1790" w:hanging="108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150" w:hanging="1440"/>
      </w:pPr>
      <w:rPr>
        <w:rFonts w:hint="default"/>
      </w:rPr>
    </w:lvl>
  </w:abstractNum>
  <w:abstractNum w:abstractNumId="14" w15:restartNumberingAfterBreak="0">
    <w:nsid w:val="154350CF"/>
    <w:multiLevelType w:val="singleLevel"/>
    <w:tmpl w:val="2EEC7B64"/>
    <w:lvl w:ilvl="0">
      <w:start w:val="1"/>
      <w:numFmt w:val="decimal"/>
      <w:lvlText w:val="%1)"/>
      <w:legacy w:legacy="1" w:legacySpace="0" w:legacyIndent="298"/>
      <w:lvlJc w:val="left"/>
      <w:rPr>
        <w:rFonts w:ascii="Times New Roman" w:hAnsi="Times New Roman" w:cs="Times New Roman" w:hint="default"/>
      </w:rPr>
    </w:lvl>
  </w:abstractNum>
  <w:abstractNum w:abstractNumId="15" w15:restartNumberingAfterBreak="0">
    <w:nsid w:val="189B3148"/>
    <w:multiLevelType w:val="singleLevel"/>
    <w:tmpl w:val="D5A25880"/>
    <w:lvl w:ilvl="0">
      <w:start w:val="1"/>
      <w:numFmt w:val="decimal"/>
      <w:lvlText w:val="%1)"/>
      <w:legacy w:legacy="1" w:legacySpace="0" w:legacyIndent="308"/>
      <w:lvlJc w:val="left"/>
      <w:rPr>
        <w:rFonts w:ascii="Times New Roman" w:hAnsi="Times New Roman" w:cs="Times New Roman" w:hint="default"/>
      </w:rPr>
    </w:lvl>
  </w:abstractNum>
  <w:abstractNum w:abstractNumId="16" w15:restartNumberingAfterBreak="0">
    <w:nsid w:val="191D1269"/>
    <w:multiLevelType w:val="hybridMultilevel"/>
    <w:tmpl w:val="2BFA59D0"/>
    <w:lvl w:ilvl="0" w:tplc="F59021F6">
      <w:start w:val="1"/>
      <w:numFmt w:val="bullet"/>
      <w:pStyle w:val="---"/>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9B45728"/>
    <w:multiLevelType w:val="hybridMultilevel"/>
    <w:tmpl w:val="DB3627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10D3918"/>
    <w:multiLevelType w:val="singleLevel"/>
    <w:tmpl w:val="D5A25880"/>
    <w:lvl w:ilvl="0">
      <w:start w:val="1"/>
      <w:numFmt w:val="decimal"/>
      <w:lvlText w:val="%1)"/>
      <w:legacy w:legacy="1" w:legacySpace="0" w:legacyIndent="308"/>
      <w:lvlJc w:val="left"/>
      <w:rPr>
        <w:rFonts w:ascii="Times New Roman" w:hAnsi="Times New Roman" w:cs="Times New Roman" w:hint="default"/>
      </w:rPr>
    </w:lvl>
  </w:abstractNum>
  <w:abstractNum w:abstractNumId="19" w15:restartNumberingAfterBreak="0">
    <w:nsid w:val="21F454AB"/>
    <w:multiLevelType w:val="multilevel"/>
    <w:tmpl w:val="3232259C"/>
    <w:lvl w:ilvl="0">
      <w:start w:val="1"/>
      <w:numFmt w:val="decimal"/>
      <w:lvlText w:val="%1."/>
      <w:lvlJc w:val="left"/>
      <w:pPr>
        <w:tabs>
          <w:tab w:val="num" w:pos="1260"/>
        </w:tabs>
        <w:ind w:left="1260" w:hanging="360"/>
      </w:pPr>
    </w:lvl>
    <w:lvl w:ilvl="1">
      <w:start w:val="2"/>
      <w:numFmt w:val="decimal"/>
      <w:isLgl/>
      <w:lvlText w:val="%1.%2"/>
      <w:lvlJc w:val="left"/>
      <w:pPr>
        <w:ind w:left="1290" w:hanging="39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2700" w:hanging="1800"/>
      </w:pPr>
      <w:rPr>
        <w:rFonts w:hint="default"/>
      </w:rPr>
    </w:lvl>
  </w:abstractNum>
  <w:abstractNum w:abstractNumId="20" w15:restartNumberingAfterBreak="0">
    <w:nsid w:val="256F4691"/>
    <w:multiLevelType w:val="singleLevel"/>
    <w:tmpl w:val="0CE05788"/>
    <w:lvl w:ilvl="0">
      <w:start w:val="1"/>
      <w:numFmt w:val="decimal"/>
      <w:lvlText w:val="%1)"/>
      <w:legacy w:legacy="1" w:legacySpace="0" w:legacyIndent="303"/>
      <w:lvlJc w:val="left"/>
      <w:rPr>
        <w:rFonts w:ascii="Times New Roman" w:hAnsi="Times New Roman" w:cs="Times New Roman" w:hint="default"/>
      </w:rPr>
    </w:lvl>
  </w:abstractNum>
  <w:abstractNum w:abstractNumId="21"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2" w15:restartNumberingAfterBreak="0">
    <w:nsid w:val="28185596"/>
    <w:multiLevelType w:val="multilevel"/>
    <w:tmpl w:val="3EAA7CCA"/>
    <w:lvl w:ilvl="0">
      <w:start w:val="1"/>
      <w:numFmt w:val="bullet"/>
      <w:lvlText w:val=""/>
      <w:lvlJc w:val="left"/>
      <w:pPr>
        <w:tabs>
          <w:tab w:val="num" w:pos="1212"/>
        </w:tabs>
        <w:ind w:left="1212" w:hanging="360"/>
      </w:pPr>
      <w:rPr>
        <w:rFonts w:ascii="Symbol" w:hAnsi="Symbol" w:hint="default"/>
        <w:sz w:val="24"/>
        <w:szCs w:val="24"/>
      </w:rPr>
    </w:lvl>
    <w:lvl w:ilvl="1">
      <w:start w:val="1"/>
      <w:numFmt w:val="bullet"/>
      <w:lvlText w:val="o"/>
      <w:lvlJc w:val="left"/>
      <w:pPr>
        <w:tabs>
          <w:tab w:val="num" w:pos="645"/>
        </w:tabs>
        <w:ind w:left="645" w:hanging="360"/>
      </w:pPr>
      <w:rPr>
        <w:rFonts w:ascii="Courier New" w:hAnsi="Courier New" w:hint="default"/>
      </w:rPr>
    </w:lvl>
    <w:lvl w:ilvl="2">
      <w:start w:val="1"/>
      <w:numFmt w:val="bullet"/>
      <w:lvlText w:val=""/>
      <w:lvlJc w:val="left"/>
      <w:pPr>
        <w:tabs>
          <w:tab w:val="num" w:pos="1365"/>
        </w:tabs>
        <w:ind w:left="1365" w:hanging="360"/>
      </w:pPr>
      <w:rPr>
        <w:rFonts w:ascii="Wingdings" w:hAnsi="Wingdings" w:hint="default"/>
      </w:rPr>
    </w:lvl>
    <w:lvl w:ilvl="3">
      <w:start w:val="1"/>
      <w:numFmt w:val="bullet"/>
      <w:lvlText w:val=""/>
      <w:lvlJc w:val="left"/>
      <w:pPr>
        <w:tabs>
          <w:tab w:val="num" w:pos="2085"/>
        </w:tabs>
        <w:ind w:left="2085" w:hanging="360"/>
      </w:pPr>
      <w:rPr>
        <w:rFonts w:ascii="Symbol" w:hAnsi="Symbol" w:hint="default"/>
      </w:rPr>
    </w:lvl>
    <w:lvl w:ilvl="4">
      <w:start w:val="1"/>
      <w:numFmt w:val="bullet"/>
      <w:lvlText w:val="o"/>
      <w:lvlJc w:val="left"/>
      <w:pPr>
        <w:tabs>
          <w:tab w:val="num" w:pos="2805"/>
        </w:tabs>
        <w:ind w:left="2805" w:hanging="360"/>
      </w:pPr>
      <w:rPr>
        <w:rFonts w:ascii="Courier New" w:hAnsi="Courier New" w:cs="Courier New" w:hint="default"/>
      </w:rPr>
    </w:lvl>
    <w:lvl w:ilvl="5">
      <w:start w:val="1"/>
      <w:numFmt w:val="bullet"/>
      <w:lvlText w:val=""/>
      <w:lvlJc w:val="left"/>
      <w:pPr>
        <w:tabs>
          <w:tab w:val="num" w:pos="3525"/>
        </w:tabs>
        <w:ind w:left="3525" w:hanging="360"/>
      </w:pPr>
      <w:rPr>
        <w:rFonts w:ascii="Wingdings" w:hAnsi="Wingdings" w:hint="default"/>
      </w:rPr>
    </w:lvl>
    <w:lvl w:ilvl="6">
      <w:start w:val="1"/>
      <w:numFmt w:val="bullet"/>
      <w:lvlText w:val=""/>
      <w:lvlJc w:val="left"/>
      <w:pPr>
        <w:tabs>
          <w:tab w:val="num" w:pos="4245"/>
        </w:tabs>
        <w:ind w:left="4245" w:hanging="360"/>
      </w:pPr>
      <w:rPr>
        <w:rFonts w:ascii="Symbol" w:hAnsi="Symbol" w:hint="default"/>
      </w:rPr>
    </w:lvl>
    <w:lvl w:ilvl="7">
      <w:start w:val="1"/>
      <w:numFmt w:val="bullet"/>
      <w:lvlText w:val="o"/>
      <w:lvlJc w:val="left"/>
      <w:pPr>
        <w:tabs>
          <w:tab w:val="num" w:pos="4965"/>
        </w:tabs>
        <w:ind w:left="4965" w:hanging="360"/>
      </w:pPr>
      <w:rPr>
        <w:rFonts w:ascii="Courier New" w:hAnsi="Courier New" w:cs="Courier New" w:hint="default"/>
      </w:rPr>
    </w:lvl>
    <w:lvl w:ilvl="8">
      <w:start w:val="1"/>
      <w:numFmt w:val="bullet"/>
      <w:lvlText w:val=""/>
      <w:lvlJc w:val="left"/>
      <w:pPr>
        <w:tabs>
          <w:tab w:val="num" w:pos="5685"/>
        </w:tabs>
        <w:ind w:left="5685" w:hanging="360"/>
      </w:pPr>
      <w:rPr>
        <w:rFonts w:ascii="Wingdings" w:hAnsi="Wingdings" w:hint="default"/>
      </w:rPr>
    </w:lvl>
  </w:abstractNum>
  <w:abstractNum w:abstractNumId="23" w15:restartNumberingAfterBreak="0">
    <w:nsid w:val="2DB65C06"/>
    <w:multiLevelType w:val="singleLevel"/>
    <w:tmpl w:val="2CFAB6BE"/>
    <w:lvl w:ilvl="0">
      <w:start w:val="4"/>
      <w:numFmt w:val="decimal"/>
      <w:lvlText w:val="%1."/>
      <w:legacy w:legacy="1" w:legacySpace="0" w:legacyIndent="279"/>
      <w:lvlJc w:val="left"/>
      <w:rPr>
        <w:rFonts w:ascii="Times New Roman" w:hAnsi="Times New Roman" w:cs="Times New Roman" w:hint="default"/>
      </w:rPr>
    </w:lvl>
  </w:abstractNum>
  <w:abstractNum w:abstractNumId="24" w15:restartNumberingAfterBreak="0">
    <w:nsid w:val="31890535"/>
    <w:multiLevelType w:val="singleLevel"/>
    <w:tmpl w:val="D5A25880"/>
    <w:lvl w:ilvl="0">
      <w:start w:val="1"/>
      <w:numFmt w:val="decimal"/>
      <w:lvlText w:val="%1)"/>
      <w:legacy w:legacy="1" w:legacySpace="0" w:legacyIndent="308"/>
      <w:lvlJc w:val="left"/>
      <w:rPr>
        <w:rFonts w:ascii="Times New Roman" w:hAnsi="Times New Roman" w:cs="Times New Roman" w:hint="default"/>
      </w:rPr>
    </w:lvl>
  </w:abstractNum>
  <w:abstractNum w:abstractNumId="25" w15:restartNumberingAfterBreak="0">
    <w:nsid w:val="3C734D50"/>
    <w:multiLevelType w:val="singleLevel"/>
    <w:tmpl w:val="CE566908"/>
    <w:lvl w:ilvl="0">
      <w:start w:val="1"/>
      <w:numFmt w:val="decimal"/>
      <w:lvlText w:val="%1."/>
      <w:legacy w:legacy="1" w:legacySpace="0" w:legacyIndent="279"/>
      <w:lvlJc w:val="left"/>
      <w:rPr>
        <w:rFonts w:ascii="Times New Roman" w:hAnsi="Times New Roman" w:cs="Times New Roman" w:hint="default"/>
      </w:rPr>
    </w:lvl>
  </w:abstractNum>
  <w:abstractNum w:abstractNumId="26" w15:restartNumberingAfterBreak="0">
    <w:nsid w:val="3D442C0D"/>
    <w:multiLevelType w:val="hybridMultilevel"/>
    <w:tmpl w:val="149603BC"/>
    <w:lvl w:ilvl="0" w:tplc="52B09FC2">
      <w:start w:val="1"/>
      <w:numFmt w:val="decimal"/>
      <w:lvlText w:val="%1."/>
      <w:lvlJc w:val="left"/>
      <w:pPr>
        <w:ind w:left="1080" w:hanging="360"/>
      </w:pPr>
      <w:rPr>
        <w:rFonts w:hint="default"/>
      </w:rPr>
    </w:lvl>
    <w:lvl w:ilvl="1" w:tplc="4EBE65B8">
      <w:start w:val="1"/>
      <w:numFmt w:val="lowerLetter"/>
      <w:lvlText w:val="%2."/>
      <w:lvlJc w:val="left"/>
      <w:pPr>
        <w:ind w:left="1800" w:hanging="360"/>
      </w:pPr>
    </w:lvl>
    <w:lvl w:ilvl="2" w:tplc="A4C254EA">
      <w:start w:val="1"/>
      <w:numFmt w:val="lowerRoman"/>
      <w:lvlText w:val="%3."/>
      <w:lvlJc w:val="right"/>
      <w:pPr>
        <w:ind w:left="2520" w:hanging="180"/>
      </w:pPr>
    </w:lvl>
    <w:lvl w:ilvl="3" w:tplc="00ECCF02">
      <w:start w:val="1"/>
      <w:numFmt w:val="decimal"/>
      <w:lvlText w:val="%4."/>
      <w:lvlJc w:val="left"/>
      <w:pPr>
        <w:ind w:left="3240" w:hanging="360"/>
      </w:pPr>
    </w:lvl>
    <w:lvl w:ilvl="4" w:tplc="32902D70">
      <w:start w:val="1"/>
      <w:numFmt w:val="lowerLetter"/>
      <w:lvlText w:val="%5."/>
      <w:lvlJc w:val="left"/>
      <w:pPr>
        <w:ind w:left="3960" w:hanging="360"/>
      </w:pPr>
    </w:lvl>
    <w:lvl w:ilvl="5" w:tplc="9B92C9BA">
      <w:start w:val="1"/>
      <w:numFmt w:val="lowerRoman"/>
      <w:lvlText w:val="%6."/>
      <w:lvlJc w:val="right"/>
      <w:pPr>
        <w:ind w:left="4680" w:hanging="180"/>
      </w:pPr>
    </w:lvl>
    <w:lvl w:ilvl="6" w:tplc="8EAE1826">
      <w:start w:val="1"/>
      <w:numFmt w:val="decimal"/>
      <w:lvlText w:val="%7."/>
      <w:lvlJc w:val="left"/>
      <w:pPr>
        <w:ind w:left="5400" w:hanging="360"/>
      </w:pPr>
    </w:lvl>
    <w:lvl w:ilvl="7" w:tplc="D2221480">
      <w:start w:val="1"/>
      <w:numFmt w:val="lowerLetter"/>
      <w:lvlText w:val="%8."/>
      <w:lvlJc w:val="left"/>
      <w:pPr>
        <w:ind w:left="6120" w:hanging="360"/>
      </w:pPr>
    </w:lvl>
    <w:lvl w:ilvl="8" w:tplc="E3EEC4D8">
      <w:start w:val="1"/>
      <w:numFmt w:val="lowerRoman"/>
      <w:lvlText w:val="%9."/>
      <w:lvlJc w:val="right"/>
      <w:pPr>
        <w:ind w:left="6840" w:hanging="180"/>
      </w:pPr>
    </w:lvl>
  </w:abstractNum>
  <w:abstractNum w:abstractNumId="27" w15:restartNumberingAfterBreak="0">
    <w:nsid w:val="3DB21E16"/>
    <w:multiLevelType w:val="singleLevel"/>
    <w:tmpl w:val="D5A25880"/>
    <w:lvl w:ilvl="0">
      <w:start w:val="1"/>
      <w:numFmt w:val="decimal"/>
      <w:lvlText w:val="%1)"/>
      <w:legacy w:legacy="1" w:legacySpace="0" w:legacyIndent="308"/>
      <w:lvlJc w:val="left"/>
      <w:rPr>
        <w:rFonts w:ascii="Times New Roman" w:hAnsi="Times New Roman" w:cs="Times New Roman" w:hint="default"/>
      </w:rPr>
    </w:lvl>
  </w:abstractNum>
  <w:abstractNum w:abstractNumId="28" w15:restartNumberingAfterBreak="0">
    <w:nsid w:val="40275ACF"/>
    <w:multiLevelType w:val="hybridMultilevel"/>
    <w:tmpl w:val="BCF8FBDC"/>
    <w:lvl w:ilvl="0" w:tplc="0419000F">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9" w15:restartNumberingAfterBreak="0">
    <w:nsid w:val="45B029E6"/>
    <w:multiLevelType w:val="singleLevel"/>
    <w:tmpl w:val="D5A25880"/>
    <w:lvl w:ilvl="0">
      <w:start w:val="1"/>
      <w:numFmt w:val="decimal"/>
      <w:lvlText w:val="%1)"/>
      <w:legacy w:legacy="1" w:legacySpace="0" w:legacyIndent="308"/>
      <w:lvlJc w:val="left"/>
      <w:rPr>
        <w:rFonts w:ascii="Times New Roman" w:hAnsi="Times New Roman" w:cs="Times New Roman" w:hint="default"/>
      </w:rPr>
    </w:lvl>
  </w:abstractNum>
  <w:abstractNum w:abstractNumId="30" w15:restartNumberingAfterBreak="0">
    <w:nsid w:val="462D6D03"/>
    <w:multiLevelType w:val="hybridMultilevel"/>
    <w:tmpl w:val="433013B0"/>
    <w:lvl w:ilvl="0" w:tplc="55647610">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15:restartNumberingAfterBreak="0">
    <w:nsid w:val="4D7B3F68"/>
    <w:multiLevelType w:val="hybridMultilevel"/>
    <w:tmpl w:val="352ADB54"/>
    <w:lvl w:ilvl="0" w:tplc="B8CE388A">
      <w:start w:val="1"/>
      <w:numFmt w:val="decimal"/>
      <w:pStyle w:val="S"/>
      <w:lvlText w:val="Таблица %1"/>
      <w:lvlJc w:val="left"/>
      <w:pPr>
        <w:ind w:left="844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0620A09"/>
    <w:multiLevelType w:val="hybridMultilevel"/>
    <w:tmpl w:val="3710E7DC"/>
    <w:lvl w:ilvl="0" w:tplc="1B9E0636">
      <w:start w:val="1"/>
      <w:numFmt w:val="bullet"/>
      <w:lvlText w:val=""/>
      <w:lvlJc w:val="left"/>
      <w:pPr>
        <w:ind w:left="1429" w:hanging="360"/>
      </w:pPr>
      <w:rPr>
        <w:rFonts w:ascii="Symbol" w:hAnsi="Symbol" w:cs="Symbol" w:hint="default"/>
      </w:rPr>
    </w:lvl>
    <w:lvl w:ilvl="1" w:tplc="97E4A0C0">
      <w:start w:val="1"/>
      <w:numFmt w:val="bullet"/>
      <w:lvlText w:val="o"/>
      <w:lvlJc w:val="left"/>
      <w:pPr>
        <w:ind w:left="2149" w:hanging="360"/>
      </w:pPr>
      <w:rPr>
        <w:rFonts w:ascii="Courier New" w:hAnsi="Courier New" w:cs="Courier New" w:hint="default"/>
      </w:rPr>
    </w:lvl>
    <w:lvl w:ilvl="2" w:tplc="61546CFA">
      <w:start w:val="1"/>
      <w:numFmt w:val="bullet"/>
      <w:lvlText w:val=""/>
      <w:lvlJc w:val="left"/>
      <w:pPr>
        <w:ind w:left="2869" w:hanging="360"/>
      </w:pPr>
      <w:rPr>
        <w:rFonts w:ascii="Wingdings" w:hAnsi="Wingdings" w:cs="Wingdings" w:hint="default"/>
      </w:rPr>
    </w:lvl>
    <w:lvl w:ilvl="3" w:tplc="33D26C96">
      <w:start w:val="1"/>
      <w:numFmt w:val="bullet"/>
      <w:lvlText w:val=""/>
      <w:lvlJc w:val="left"/>
      <w:pPr>
        <w:ind w:left="3589" w:hanging="360"/>
      </w:pPr>
      <w:rPr>
        <w:rFonts w:ascii="Symbol" w:hAnsi="Symbol" w:cs="Symbol" w:hint="default"/>
      </w:rPr>
    </w:lvl>
    <w:lvl w:ilvl="4" w:tplc="30080DDA">
      <w:start w:val="1"/>
      <w:numFmt w:val="bullet"/>
      <w:lvlText w:val="o"/>
      <w:lvlJc w:val="left"/>
      <w:pPr>
        <w:ind w:left="4309" w:hanging="360"/>
      </w:pPr>
      <w:rPr>
        <w:rFonts w:ascii="Courier New" w:hAnsi="Courier New" w:cs="Courier New" w:hint="default"/>
      </w:rPr>
    </w:lvl>
    <w:lvl w:ilvl="5" w:tplc="E794D480">
      <w:start w:val="1"/>
      <w:numFmt w:val="bullet"/>
      <w:lvlText w:val=""/>
      <w:lvlJc w:val="left"/>
      <w:pPr>
        <w:ind w:left="5029" w:hanging="360"/>
      </w:pPr>
      <w:rPr>
        <w:rFonts w:ascii="Wingdings" w:hAnsi="Wingdings" w:cs="Wingdings" w:hint="default"/>
      </w:rPr>
    </w:lvl>
    <w:lvl w:ilvl="6" w:tplc="C394BAB8">
      <w:start w:val="1"/>
      <w:numFmt w:val="bullet"/>
      <w:lvlText w:val=""/>
      <w:lvlJc w:val="left"/>
      <w:pPr>
        <w:ind w:left="5749" w:hanging="360"/>
      </w:pPr>
      <w:rPr>
        <w:rFonts w:ascii="Symbol" w:hAnsi="Symbol" w:cs="Symbol" w:hint="default"/>
      </w:rPr>
    </w:lvl>
    <w:lvl w:ilvl="7" w:tplc="BC78C140">
      <w:start w:val="1"/>
      <w:numFmt w:val="bullet"/>
      <w:lvlText w:val="o"/>
      <w:lvlJc w:val="left"/>
      <w:pPr>
        <w:ind w:left="6469" w:hanging="360"/>
      </w:pPr>
      <w:rPr>
        <w:rFonts w:ascii="Courier New" w:hAnsi="Courier New" w:cs="Courier New" w:hint="default"/>
      </w:rPr>
    </w:lvl>
    <w:lvl w:ilvl="8" w:tplc="36941C12">
      <w:start w:val="1"/>
      <w:numFmt w:val="bullet"/>
      <w:lvlText w:val=""/>
      <w:lvlJc w:val="left"/>
      <w:pPr>
        <w:ind w:left="7189" w:hanging="360"/>
      </w:pPr>
      <w:rPr>
        <w:rFonts w:ascii="Wingdings" w:hAnsi="Wingdings" w:cs="Wingdings" w:hint="default"/>
      </w:rPr>
    </w:lvl>
  </w:abstractNum>
  <w:abstractNum w:abstractNumId="33" w15:restartNumberingAfterBreak="0">
    <w:nsid w:val="50DD61D7"/>
    <w:multiLevelType w:val="singleLevel"/>
    <w:tmpl w:val="7DB87C34"/>
    <w:lvl w:ilvl="0">
      <w:start w:val="1"/>
      <w:numFmt w:val="decimal"/>
      <w:lvlText w:val="%1."/>
      <w:legacy w:legacy="1" w:legacySpace="0" w:legacyIndent="283"/>
      <w:lvlJc w:val="left"/>
      <w:rPr>
        <w:rFonts w:ascii="Times New Roman" w:hAnsi="Times New Roman" w:cs="Times New Roman" w:hint="default"/>
      </w:rPr>
    </w:lvl>
  </w:abstractNum>
  <w:abstractNum w:abstractNumId="34" w15:restartNumberingAfterBreak="0">
    <w:nsid w:val="51C412BE"/>
    <w:multiLevelType w:val="multilevel"/>
    <w:tmpl w:val="634A99EE"/>
    <w:lvl w:ilvl="0">
      <w:start w:val="1"/>
      <w:numFmt w:val="decimal"/>
      <w:lvlText w:val="%1."/>
      <w:lvlJc w:val="left"/>
      <w:pPr>
        <w:tabs>
          <w:tab w:val="num" w:pos="1260"/>
        </w:tabs>
        <w:ind w:left="1260" w:hanging="360"/>
      </w:pPr>
    </w:lvl>
    <w:lvl w:ilvl="1">
      <w:start w:val="5"/>
      <w:numFmt w:val="decimal"/>
      <w:isLgl/>
      <w:lvlText w:val="%1.%2"/>
      <w:lvlJc w:val="left"/>
      <w:pPr>
        <w:ind w:left="1290" w:hanging="39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2700" w:hanging="1800"/>
      </w:pPr>
      <w:rPr>
        <w:rFonts w:hint="default"/>
      </w:rPr>
    </w:lvl>
  </w:abstractNum>
  <w:abstractNum w:abstractNumId="35" w15:restartNumberingAfterBreak="0">
    <w:nsid w:val="5A0D007D"/>
    <w:multiLevelType w:val="hybridMultilevel"/>
    <w:tmpl w:val="13142FEC"/>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6" w15:restartNumberingAfterBreak="0">
    <w:nsid w:val="62D14812"/>
    <w:multiLevelType w:val="hybridMultilevel"/>
    <w:tmpl w:val="8CAE752C"/>
    <w:lvl w:ilvl="0" w:tplc="3556B3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E505020"/>
    <w:multiLevelType w:val="singleLevel"/>
    <w:tmpl w:val="6B74B068"/>
    <w:lvl w:ilvl="0">
      <w:start w:val="1"/>
      <w:numFmt w:val="decimal"/>
      <w:lvlText w:val="%1."/>
      <w:legacy w:legacy="1" w:legacySpace="0" w:legacyIndent="274"/>
      <w:lvlJc w:val="left"/>
      <w:rPr>
        <w:rFonts w:ascii="Times New Roman" w:hAnsi="Times New Roman" w:cs="Times New Roman" w:hint="default"/>
      </w:rPr>
    </w:lvl>
  </w:abstractNum>
  <w:abstractNum w:abstractNumId="38" w15:restartNumberingAfterBreak="0">
    <w:nsid w:val="7D671CC9"/>
    <w:multiLevelType w:val="hybridMultilevel"/>
    <w:tmpl w:val="80604C26"/>
    <w:lvl w:ilvl="0" w:tplc="0419000F">
      <w:start w:val="1"/>
      <w:numFmt w:val="decimal"/>
      <w:lvlText w:val="%1."/>
      <w:lvlJc w:val="left"/>
      <w:pPr>
        <w:tabs>
          <w:tab w:val="num" w:pos="900"/>
        </w:tabs>
        <w:ind w:left="900" w:hanging="360"/>
      </w:pPr>
      <w:rPr>
        <w:rFonts w:cs="Times New Roman"/>
      </w:rPr>
    </w:lvl>
    <w:lvl w:ilvl="1" w:tplc="909E7950">
      <w:start w:val="1"/>
      <w:numFmt w:val="bullet"/>
      <w:lvlText w:val=""/>
      <w:lvlJc w:val="left"/>
      <w:pPr>
        <w:tabs>
          <w:tab w:val="num" w:pos="1980"/>
        </w:tabs>
        <w:ind w:left="1980" w:hanging="360"/>
      </w:pPr>
      <w:rPr>
        <w:rFonts w:ascii="Symbol" w:hAnsi="Symbol" w:hint="default"/>
      </w:rPr>
    </w:lvl>
    <w:lvl w:ilvl="2" w:tplc="A54E4B7A">
      <w:start w:val="1"/>
      <w:numFmt w:val="decimal"/>
      <w:lvlText w:val="%3)"/>
      <w:lvlJc w:val="left"/>
      <w:pPr>
        <w:tabs>
          <w:tab w:val="num" w:pos="2880"/>
        </w:tabs>
        <w:ind w:left="2880" w:hanging="360"/>
      </w:pPr>
      <w:rPr>
        <w:rFonts w:cs="Times New Roman"/>
      </w:rPr>
    </w:lvl>
    <w:lvl w:ilvl="3" w:tplc="C3149348">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4140"/>
        </w:tabs>
        <w:ind w:left="4140" w:hanging="360"/>
      </w:pPr>
      <w:rPr>
        <w:rFonts w:cs="Times New Roman"/>
      </w:rPr>
    </w:lvl>
    <w:lvl w:ilvl="5" w:tplc="0419001B">
      <w:start w:val="1"/>
      <w:numFmt w:val="lowerRoman"/>
      <w:lvlText w:val="%6."/>
      <w:lvlJc w:val="right"/>
      <w:pPr>
        <w:tabs>
          <w:tab w:val="num" w:pos="4860"/>
        </w:tabs>
        <w:ind w:left="4860" w:hanging="180"/>
      </w:pPr>
      <w:rPr>
        <w:rFonts w:cs="Times New Roman"/>
      </w:rPr>
    </w:lvl>
    <w:lvl w:ilvl="6" w:tplc="0419000F">
      <w:start w:val="1"/>
      <w:numFmt w:val="decimal"/>
      <w:lvlText w:val="%7."/>
      <w:lvlJc w:val="left"/>
      <w:pPr>
        <w:tabs>
          <w:tab w:val="num" w:pos="5580"/>
        </w:tabs>
        <w:ind w:left="5580" w:hanging="360"/>
      </w:pPr>
      <w:rPr>
        <w:rFonts w:cs="Times New Roman"/>
      </w:rPr>
    </w:lvl>
    <w:lvl w:ilvl="7" w:tplc="04190019">
      <w:start w:val="1"/>
      <w:numFmt w:val="lowerLetter"/>
      <w:lvlText w:val="%8."/>
      <w:lvlJc w:val="left"/>
      <w:pPr>
        <w:tabs>
          <w:tab w:val="num" w:pos="6300"/>
        </w:tabs>
        <w:ind w:left="6300" w:hanging="360"/>
      </w:pPr>
      <w:rPr>
        <w:rFonts w:cs="Times New Roman"/>
      </w:rPr>
    </w:lvl>
    <w:lvl w:ilvl="8" w:tplc="0419001B">
      <w:start w:val="1"/>
      <w:numFmt w:val="lowerRoman"/>
      <w:lvlText w:val="%9."/>
      <w:lvlJc w:val="right"/>
      <w:pPr>
        <w:tabs>
          <w:tab w:val="num" w:pos="7020"/>
        </w:tabs>
        <w:ind w:left="7020" w:hanging="180"/>
      </w:pPr>
      <w:rPr>
        <w:rFonts w:cs="Times New Roman"/>
      </w:rPr>
    </w:lvl>
  </w:abstractNum>
  <w:num w:numId="1">
    <w:abstractNumId w:val="31"/>
  </w:num>
  <w:num w:numId="2">
    <w:abstractNumId w:val="21"/>
  </w:num>
  <w:num w:numId="3">
    <w:abstractNumId w:val="16"/>
  </w:num>
  <w:num w:numId="4">
    <w:abstractNumId w:val="10"/>
  </w:num>
  <w:num w:numId="5">
    <w:abstractNumId w:val="6"/>
  </w:num>
  <w:num w:numId="6">
    <w:abstractNumId w:val="8"/>
  </w:num>
  <w:num w:numId="7">
    <w:abstractNumId w:val="34"/>
  </w:num>
  <w:num w:numId="8">
    <w:abstractNumId w:val="19"/>
  </w:num>
  <w:num w:numId="9">
    <w:abstractNumId w:val="13"/>
  </w:num>
  <w:num w:numId="10">
    <w:abstractNumId w:val="32"/>
  </w:num>
  <w:num w:numId="11">
    <w:abstractNumId w:val="30"/>
  </w:num>
  <w:num w:numId="12">
    <w:abstractNumId w:val="26"/>
  </w:num>
  <w:num w:numId="13">
    <w:abstractNumId w:val="28"/>
  </w:num>
  <w:num w:numId="14">
    <w:abstractNumId w:val="9"/>
  </w:num>
  <w:num w:numId="15">
    <w:abstractNumId w:val="38"/>
  </w:num>
  <w:num w:numId="16">
    <w:abstractNumId w:val="17"/>
  </w:num>
  <w:num w:numId="17">
    <w:abstractNumId w:val="36"/>
  </w:num>
  <w:num w:numId="18">
    <w:abstractNumId w:val="22"/>
  </w:num>
  <w:num w:numId="19">
    <w:abstractNumId w:val="35"/>
  </w:num>
  <w:num w:numId="20">
    <w:abstractNumId w:val="25"/>
  </w:num>
  <w:num w:numId="21">
    <w:abstractNumId w:val="7"/>
  </w:num>
  <w:num w:numId="22">
    <w:abstractNumId w:val="14"/>
  </w:num>
  <w:num w:numId="23">
    <w:abstractNumId w:val="14"/>
    <w:lvlOverride w:ilvl="0">
      <w:lvl w:ilvl="0">
        <w:start w:val="5"/>
        <w:numFmt w:val="decimal"/>
        <w:lvlText w:val="%1)"/>
        <w:legacy w:legacy="1" w:legacySpace="0" w:legacyIndent="307"/>
        <w:lvlJc w:val="left"/>
        <w:rPr>
          <w:rFonts w:ascii="Times New Roman" w:hAnsi="Times New Roman" w:cs="Times New Roman" w:hint="default"/>
        </w:rPr>
      </w:lvl>
    </w:lvlOverride>
  </w:num>
  <w:num w:numId="24">
    <w:abstractNumId w:val="24"/>
  </w:num>
  <w:num w:numId="25">
    <w:abstractNumId w:val="15"/>
  </w:num>
  <w:num w:numId="26">
    <w:abstractNumId w:val="33"/>
  </w:num>
  <w:num w:numId="27">
    <w:abstractNumId w:val="18"/>
  </w:num>
  <w:num w:numId="28">
    <w:abstractNumId w:val="18"/>
    <w:lvlOverride w:ilvl="0">
      <w:lvl w:ilvl="0">
        <w:start w:val="4"/>
        <w:numFmt w:val="decimal"/>
        <w:lvlText w:val="%1)"/>
        <w:legacy w:legacy="1" w:legacySpace="0" w:legacyIndent="308"/>
        <w:lvlJc w:val="left"/>
        <w:rPr>
          <w:rFonts w:ascii="Times New Roman" w:hAnsi="Times New Roman" w:cs="Times New Roman" w:hint="default"/>
        </w:rPr>
      </w:lvl>
    </w:lvlOverride>
  </w:num>
  <w:num w:numId="29">
    <w:abstractNumId w:val="23"/>
  </w:num>
  <w:num w:numId="30">
    <w:abstractNumId w:val="12"/>
  </w:num>
  <w:num w:numId="31">
    <w:abstractNumId w:val="37"/>
  </w:num>
  <w:num w:numId="32">
    <w:abstractNumId w:val="27"/>
  </w:num>
  <w:num w:numId="33">
    <w:abstractNumId w:val="29"/>
  </w:num>
  <w:num w:numId="34">
    <w:abstractNumId w:val="20"/>
  </w:num>
  <w:num w:numId="3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71CD947F-53C3-40DA-A9A2-85DDB1817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style>
  <w:style w:type="paragraph" w:styleId="1">
    <w:name w:val="heading 1"/>
    <w:aliases w:val=" Знак14"/>
    <w:basedOn w:val="a2"/>
    <w:next w:val="a2"/>
    <w:link w:val="10"/>
    <w:qFormat/>
    <w:pPr>
      <w:keepNext/>
      <w:keepLines/>
      <w:spacing w:before="240" w:after="0"/>
      <w:outlineLvl w:val="0"/>
    </w:pPr>
    <w:rPr>
      <w:rFonts w:asciiTheme="majorHAnsi" w:eastAsiaTheme="majorEastAsia" w:hAnsiTheme="majorHAnsi" w:cstheme="majorBidi"/>
      <w:color w:val="A5A5A5" w:themeColor="accent1" w:themeShade="BF"/>
      <w:sz w:val="32"/>
      <w:szCs w:val="32"/>
    </w:rPr>
  </w:style>
  <w:style w:type="paragraph" w:styleId="2">
    <w:name w:val="heading 2"/>
    <w:aliases w:val=" Знак13"/>
    <w:basedOn w:val="a2"/>
    <w:next w:val="a2"/>
    <w:link w:val="20"/>
    <w:unhideWhenUsed/>
    <w:qFormat/>
    <w:pPr>
      <w:keepNext/>
      <w:keepLines/>
      <w:spacing w:before="200" w:after="0"/>
      <w:jc w:val="center"/>
      <w:outlineLvl w:val="1"/>
    </w:pPr>
    <w:rPr>
      <w:rFonts w:ascii="Times New Roman" w:eastAsiaTheme="majorEastAsia" w:hAnsi="Times New Roman" w:cstheme="majorBidi"/>
      <w:b/>
      <w:bCs/>
      <w:sz w:val="28"/>
      <w:szCs w:val="26"/>
    </w:rPr>
  </w:style>
  <w:style w:type="paragraph" w:styleId="3">
    <w:name w:val="heading 3"/>
    <w:aliases w:val="Знак12"/>
    <w:basedOn w:val="a2"/>
    <w:next w:val="a2"/>
    <w:link w:val="30"/>
    <w:unhideWhenUsed/>
    <w:qFormat/>
    <w:pPr>
      <w:keepNext/>
      <w:keepLines/>
      <w:spacing w:before="200" w:after="0"/>
      <w:jc w:val="both"/>
      <w:outlineLvl w:val="2"/>
    </w:pPr>
    <w:rPr>
      <w:rFonts w:ascii="Times New Roman" w:eastAsiaTheme="majorEastAsia" w:hAnsi="Times New Roman" w:cstheme="majorBidi"/>
      <w:b/>
      <w:bCs/>
      <w:sz w:val="26"/>
    </w:rPr>
  </w:style>
  <w:style w:type="paragraph" w:styleId="4">
    <w:name w:val="heading 4"/>
    <w:basedOn w:val="a2"/>
    <w:next w:val="a2"/>
    <w:link w:val="40"/>
    <w:uiPriority w:val="9"/>
    <w:unhideWhenUsed/>
    <w:qFormat/>
    <w:pPr>
      <w:keepNext/>
      <w:keepLines/>
      <w:spacing w:before="40" w:after="0"/>
      <w:outlineLvl w:val="3"/>
    </w:pPr>
    <w:rPr>
      <w:rFonts w:asciiTheme="majorHAnsi" w:eastAsiaTheme="majorEastAsia" w:hAnsiTheme="majorHAnsi" w:cstheme="majorBidi"/>
      <w:i/>
      <w:iCs/>
      <w:color w:val="A5A5A5" w:themeColor="accent1" w:themeShade="BF"/>
    </w:rPr>
  </w:style>
  <w:style w:type="paragraph" w:styleId="5">
    <w:name w:val="heading 5"/>
    <w:basedOn w:val="a2"/>
    <w:next w:val="a2"/>
    <w:link w:val="50"/>
    <w:uiPriority w:val="9"/>
    <w:unhideWhenUsed/>
    <w:qFormat/>
    <w:pPr>
      <w:keepNext/>
      <w:keepLines/>
      <w:spacing w:before="40" w:after="0"/>
      <w:outlineLvl w:val="4"/>
    </w:pPr>
    <w:rPr>
      <w:rFonts w:asciiTheme="majorHAnsi" w:eastAsiaTheme="majorEastAsia" w:hAnsiTheme="majorHAnsi" w:cstheme="majorBidi"/>
      <w:color w:val="A5A5A5" w:themeColor="accent1" w:themeShade="BF"/>
    </w:rPr>
  </w:style>
  <w:style w:type="paragraph" w:styleId="6">
    <w:name w:val="heading 6"/>
    <w:basedOn w:val="a2"/>
    <w:next w:val="a2"/>
    <w:link w:val="60"/>
    <w:qFormat/>
    <w:pPr>
      <w:spacing w:before="240" w:after="60" w:line="240" w:lineRule="auto"/>
      <w:outlineLvl w:val="5"/>
    </w:pPr>
    <w:rPr>
      <w:rFonts w:ascii="Times New Roman" w:eastAsia="Times New Roman" w:hAnsi="Times New Roman" w:cs="Times New Roman"/>
      <w:b/>
      <w:bCs/>
      <w:lang w:eastAsia="ru-RU"/>
    </w:rPr>
  </w:style>
  <w:style w:type="paragraph" w:styleId="9">
    <w:name w:val="heading 9"/>
    <w:basedOn w:val="a2"/>
    <w:next w:val="a2"/>
    <w:link w:val="90"/>
    <w:uiPriority w:val="9"/>
    <w:qFormat/>
    <w:pPr>
      <w:spacing w:before="240" w:after="60" w:line="240" w:lineRule="auto"/>
      <w:outlineLvl w:val="8"/>
    </w:pPr>
    <w:rPr>
      <w:rFonts w:ascii="Cambria" w:eastAsia="Times New Roman" w:hAnsi="Cambria" w:cs="Times New Roman"/>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nhideWhenUsed/>
    <w:pPr>
      <w:tabs>
        <w:tab w:val="center" w:pos="4677"/>
        <w:tab w:val="right" w:pos="9355"/>
      </w:tabs>
      <w:spacing w:after="0" w:line="240" w:lineRule="auto"/>
    </w:pPr>
  </w:style>
  <w:style w:type="character" w:customStyle="1" w:styleId="a7">
    <w:name w:val="Верхний колонтитул Знак"/>
    <w:basedOn w:val="a3"/>
    <w:link w:val="a6"/>
  </w:style>
  <w:style w:type="paragraph" w:styleId="a8">
    <w:name w:val="footer"/>
    <w:basedOn w:val="a2"/>
    <w:link w:val="a9"/>
    <w:uiPriority w:val="99"/>
    <w:unhideWhenUsed/>
    <w:pPr>
      <w:tabs>
        <w:tab w:val="center" w:pos="4677"/>
        <w:tab w:val="right" w:pos="9355"/>
      </w:tabs>
      <w:spacing w:after="0" w:line="240" w:lineRule="auto"/>
    </w:pPr>
  </w:style>
  <w:style w:type="character" w:customStyle="1" w:styleId="a9">
    <w:name w:val="Нижний колонтитул Знак"/>
    <w:basedOn w:val="a3"/>
    <w:link w:val="a8"/>
    <w:uiPriority w:val="99"/>
  </w:style>
  <w:style w:type="paragraph" w:styleId="aa">
    <w:name w:val="footnote text"/>
    <w:basedOn w:val="a2"/>
    <w:link w:val="ab"/>
    <w:semiHidden/>
    <w:unhideWhenUsed/>
    <w:pPr>
      <w:spacing w:after="0" w:line="240" w:lineRule="auto"/>
    </w:pPr>
    <w:rPr>
      <w:sz w:val="20"/>
      <w:szCs w:val="20"/>
    </w:rPr>
  </w:style>
  <w:style w:type="character" w:customStyle="1" w:styleId="ab">
    <w:name w:val="Текст сноски Знак"/>
    <w:basedOn w:val="a3"/>
    <w:link w:val="aa"/>
    <w:semiHidden/>
    <w:rPr>
      <w:sz w:val="20"/>
      <w:szCs w:val="20"/>
    </w:rPr>
  </w:style>
  <w:style w:type="character" w:styleId="ac">
    <w:name w:val="footnote reference"/>
    <w:basedOn w:val="a3"/>
    <w:uiPriority w:val="99"/>
    <w:semiHidden/>
    <w:unhideWhenUsed/>
    <w:rPr>
      <w:vertAlign w:val="superscript"/>
    </w:rPr>
  </w:style>
  <w:style w:type="paragraph" w:styleId="ad">
    <w:name w:val="List Paragraph"/>
    <w:aliases w:val="Абзац2,Абзац 2,List Paragraph,Заголовок 3 Шелестов1"/>
    <w:basedOn w:val="a2"/>
    <w:link w:val="ae"/>
    <w:uiPriority w:val="34"/>
    <w:qFormat/>
    <w:pPr>
      <w:ind w:left="720"/>
      <w:contextualSpacing/>
    </w:pPr>
  </w:style>
  <w:style w:type="table" w:styleId="af">
    <w:name w:val="Table Grid"/>
    <w:basedOn w:val="a4"/>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3"/>
    <w:uiPriority w:val="99"/>
    <w:semiHidden/>
    <w:unhideWhenUsed/>
    <w:rPr>
      <w:sz w:val="16"/>
      <w:szCs w:val="16"/>
    </w:rPr>
  </w:style>
  <w:style w:type="paragraph" w:styleId="af1">
    <w:name w:val="annotation text"/>
    <w:basedOn w:val="a2"/>
    <w:link w:val="af2"/>
    <w:unhideWhenUsed/>
    <w:pPr>
      <w:spacing w:line="240" w:lineRule="auto"/>
    </w:pPr>
    <w:rPr>
      <w:sz w:val="20"/>
      <w:szCs w:val="20"/>
    </w:rPr>
  </w:style>
  <w:style w:type="character" w:customStyle="1" w:styleId="af2">
    <w:name w:val="Текст примечания Знак"/>
    <w:basedOn w:val="a3"/>
    <w:link w:val="af1"/>
    <w:semiHidden/>
    <w:rPr>
      <w:sz w:val="20"/>
      <w:szCs w:val="20"/>
    </w:rPr>
  </w:style>
  <w:style w:type="paragraph" w:styleId="af3">
    <w:name w:val="annotation subject"/>
    <w:basedOn w:val="af1"/>
    <w:next w:val="af1"/>
    <w:link w:val="af4"/>
    <w:semiHidden/>
    <w:unhideWhenUsed/>
    <w:rPr>
      <w:b/>
      <w:bCs/>
    </w:rPr>
  </w:style>
  <w:style w:type="character" w:customStyle="1" w:styleId="af4">
    <w:name w:val="Тема примечания Знак"/>
    <w:basedOn w:val="af2"/>
    <w:link w:val="af3"/>
    <w:semiHidden/>
    <w:rPr>
      <w:b/>
      <w:bCs/>
      <w:sz w:val="20"/>
      <w:szCs w:val="20"/>
    </w:rPr>
  </w:style>
  <w:style w:type="paragraph" w:styleId="af5">
    <w:name w:val="Balloon Text"/>
    <w:basedOn w:val="a2"/>
    <w:link w:val="af6"/>
    <w:unhideWhenUsed/>
    <w:pPr>
      <w:spacing w:after="0" w:line="240" w:lineRule="auto"/>
    </w:pPr>
    <w:rPr>
      <w:rFonts w:ascii="Segoe UI" w:hAnsi="Segoe UI" w:cs="Segoe UI"/>
      <w:sz w:val="18"/>
      <w:szCs w:val="18"/>
    </w:rPr>
  </w:style>
  <w:style w:type="character" w:customStyle="1" w:styleId="af6">
    <w:name w:val="Текст выноски Знак"/>
    <w:basedOn w:val="a3"/>
    <w:link w:val="af5"/>
    <w:rPr>
      <w:rFonts w:ascii="Segoe UI" w:hAnsi="Segoe UI" w:cs="Segoe UI"/>
      <w:sz w:val="18"/>
      <w:szCs w:val="18"/>
    </w:rPr>
  </w:style>
  <w:style w:type="character" w:customStyle="1" w:styleId="10">
    <w:name w:val="Заголовок 1 Знак"/>
    <w:aliases w:val=" Знак14 Знак"/>
    <w:basedOn w:val="a3"/>
    <w:link w:val="1"/>
    <w:rPr>
      <w:rFonts w:asciiTheme="majorHAnsi" w:eastAsiaTheme="majorEastAsia" w:hAnsiTheme="majorHAnsi" w:cstheme="majorBidi"/>
      <w:color w:val="A5A5A5" w:themeColor="accent1" w:themeShade="BF"/>
      <w:sz w:val="32"/>
      <w:szCs w:val="32"/>
    </w:rPr>
  </w:style>
  <w:style w:type="paragraph" w:styleId="af7">
    <w:name w:val="TOC Heading"/>
    <w:basedOn w:val="1"/>
    <w:next w:val="a2"/>
    <w:uiPriority w:val="39"/>
    <w:qFormat/>
    <w:pPr>
      <w:spacing w:before="480" w:line="276" w:lineRule="auto"/>
      <w:outlineLvl w:val="9"/>
    </w:pPr>
    <w:rPr>
      <w:rFonts w:ascii="Cambria" w:eastAsia="Times New Roman" w:hAnsi="Cambria" w:cs="Times New Roman"/>
      <w:b/>
      <w:bCs/>
      <w:color w:val="365F91"/>
      <w:sz w:val="28"/>
      <w:szCs w:val="28"/>
    </w:rPr>
  </w:style>
  <w:style w:type="paragraph" w:customStyle="1" w:styleId="11">
    <w:name w:val="Абзац списка1"/>
    <w:basedOn w:val="a2"/>
    <w:pPr>
      <w:suppressAutoHyphens/>
      <w:spacing w:after="0" w:line="276" w:lineRule="auto"/>
      <w:ind w:left="720"/>
    </w:pPr>
    <w:rPr>
      <w:rFonts w:ascii="Calibri" w:eastAsia="Calibri" w:hAnsi="Calibri" w:cs="Times New Roman"/>
      <w:kern w:val="1"/>
      <w:lang w:eastAsia="ar-SA"/>
    </w:rPr>
  </w:style>
  <w:style w:type="character" w:customStyle="1" w:styleId="20">
    <w:name w:val="Заголовок 2 Знак"/>
    <w:aliases w:val=" Знак13 Знак"/>
    <w:basedOn w:val="a3"/>
    <w:link w:val="2"/>
    <w:uiPriority w:val="99"/>
    <w:rPr>
      <w:rFonts w:ascii="Times New Roman" w:eastAsiaTheme="majorEastAsia" w:hAnsi="Times New Roman" w:cstheme="majorBidi"/>
      <w:b/>
      <w:bCs/>
      <w:sz w:val="28"/>
      <w:szCs w:val="26"/>
    </w:rPr>
  </w:style>
  <w:style w:type="character" w:customStyle="1" w:styleId="30">
    <w:name w:val="Заголовок 3 Знак"/>
    <w:aliases w:val="Знак12 Знак"/>
    <w:basedOn w:val="a3"/>
    <w:link w:val="3"/>
    <w:rPr>
      <w:rFonts w:ascii="Times New Roman" w:eastAsiaTheme="majorEastAsia" w:hAnsi="Times New Roman" w:cstheme="majorBidi"/>
      <w:b/>
      <w:bCs/>
      <w:sz w:val="26"/>
    </w:rPr>
  </w:style>
  <w:style w:type="paragraph" w:customStyle="1" w:styleId="af8">
    <w:name w:val="ох"/>
    <w:basedOn w:val="a2"/>
    <w:link w:val="af9"/>
    <w:qFormat/>
    <w:pPr>
      <w:widowControl w:val="0"/>
      <w:autoSpaceDE w:val="0"/>
      <w:autoSpaceDN w:val="0"/>
      <w:adjustRightInd w:val="0"/>
      <w:spacing w:after="0" w:line="264" w:lineRule="auto"/>
      <w:ind w:firstLine="709"/>
      <w:jc w:val="both"/>
    </w:pPr>
    <w:rPr>
      <w:rFonts w:ascii="Times New Roman" w:eastAsia="Times New Roman" w:hAnsi="Times New Roman" w:cs="Times New Roman"/>
      <w:sz w:val="28"/>
      <w:szCs w:val="28"/>
      <w:lang w:eastAsia="ru-RU"/>
    </w:rPr>
  </w:style>
  <w:style w:type="character" w:customStyle="1" w:styleId="af9">
    <w:name w:val="ох Знак"/>
    <w:basedOn w:val="a3"/>
    <w:link w:val="af8"/>
    <w:rPr>
      <w:rFonts w:ascii="Times New Roman" w:eastAsia="Times New Roman" w:hAnsi="Times New Roman" w:cs="Times New Roman"/>
      <w:sz w:val="28"/>
      <w:szCs w:val="28"/>
      <w:lang w:eastAsia="ru-RU"/>
    </w:rPr>
  </w:style>
  <w:style w:type="paragraph" w:customStyle="1" w:styleId="12">
    <w:name w:val="1."/>
    <w:basedOn w:val="1"/>
    <w:link w:val="13"/>
    <w:qFormat/>
    <w:pPr>
      <w:spacing w:before="0" w:line="360" w:lineRule="auto"/>
      <w:jc w:val="center"/>
    </w:pPr>
    <w:rPr>
      <w:rFonts w:ascii="Times New Roman" w:hAnsi="Times New Roman"/>
      <w:b/>
      <w:color w:val="auto"/>
      <w:szCs w:val="28"/>
    </w:rPr>
  </w:style>
  <w:style w:type="paragraph" w:customStyle="1" w:styleId="110">
    <w:name w:val="1.1"/>
    <w:basedOn w:val="2"/>
    <w:link w:val="111"/>
    <w:qFormat/>
    <w:pPr>
      <w:spacing w:before="0" w:line="360" w:lineRule="auto"/>
      <w:jc w:val="both"/>
    </w:pPr>
    <w:rPr>
      <w:rFonts w:cs="Times New Roman"/>
      <w:b w:val="0"/>
      <w:sz w:val="32"/>
      <w:szCs w:val="28"/>
    </w:rPr>
  </w:style>
  <w:style w:type="character" w:customStyle="1" w:styleId="13">
    <w:name w:val="1. Знак"/>
    <w:basedOn w:val="10"/>
    <w:link w:val="12"/>
    <w:rPr>
      <w:rFonts w:ascii="Times New Roman" w:eastAsiaTheme="majorEastAsia" w:hAnsi="Times New Roman" w:cstheme="majorBidi"/>
      <w:b/>
      <w:color w:val="A5A5A5" w:themeColor="accent1" w:themeShade="BF"/>
      <w:sz w:val="32"/>
      <w:szCs w:val="28"/>
    </w:rPr>
  </w:style>
  <w:style w:type="paragraph" w:customStyle="1" w:styleId="1110">
    <w:name w:val="1.1.1"/>
    <w:basedOn w:val="3"/>
    <w:link w:val="1111"/>
    <w:pPr>
      <w:ind w:firstLine="567"/>
    </w:pPr>
    <w:rPr>
      <w:b w:val="0"/>
      <w:i/>
      <w:color w:val="002060"/>
      <w:sz w:val="24"/>
      <w:szCs w:val="24"/>
    </w:rPr>
  </w:style>
  <w:style w:type="character" w:customStyle="1" w:styleId="111">
    <w:name w:val="1.1 Знак"/>
    <w:basedOn w:val="20"/>
    <w:link w:val="110"/>
    <w:rPr>
      <w:rFonts w:ascii="Times New Roman" w:eastAsiaTheme="majorEastAsia" w:hAnsi="Times New Roman" w:cs="Times New Roman"/>
      <w:b w:val="0"/>
      <w:bCs/>
      <w:color w:val="DDDDDD" w:themeColor="accent1"/>
      <w:sz w:val="32"/>
      <w:szCs w:val="28"/>
    </w:rPr>
  </w:style>
  <w:style w:type="paragraph" w:styleId="14">
    <w:name w:val="toc 1"/>
    <w:basedOn w:val="a2"/>
    <w:next w:val="a2"/>
    <w:autoRedefine/>
    <w:uiPriority w:val="39"/>
    <w:unhideWhenUsed/>
    <w:pPr>
      <w:tabs>
        <w:tab w:val="right" w:leader="dot" w:pos="10195"/>
      </w:tabs>
      <w:spacing w:after="100"/>
      <w:jc w:val="both"/>
    </w:pPr>
    <w:rPr>
      <w:rFonts w:ascii="Times New Roman" w:hAnsi="Times New Roman"/>
      <w:sz w:val="26"/>
    </w:rPr>
  </w:style>
  <w:style w:type="character" w:customStyle="1" w:styleId="1111">
    <w:name w:val="1.1.1 Знак"/>
    <w:basedOn w:val="30"/>
    <w:link w:val="1110"/>
    <w:rPr>
      <w:rFonts w:ascii="Times New Roman" w:eastAsiaTheme="majorEastAsia" w:hAnsi="Times New Roman" w:cstheme="majorBidi"/>
      <w:b w:val="0"/>
      <w:bCs/>
      <w:i/>
      <w:color w:val="002060"/>
      <w:sz w:val="24"/>
      <w:szCs w:val="24"/>
    </w:rPr>
  </w:style>
  <w:style w:type="paragraph" w:styleId="21">
    <w:name w:val="toc 2"/>
    <w:basedOn w:val="a2"/>
    <w:next w:val="a2"/>
    <w:autoRedefine/>
    <w:uiPriority w:val="39"/>
    <w:unhideWhenUsed/>
    <w:pPr>
      <w:spacing w:after="100"/>
      <w:ind w:left="220"/>
    </w:pPr>
    <w:rPr>
      <w:rFonts w:ascii="Times New Roman" w:hAnsi="Times New Roman"/>
      <w:sz w:val="26"/>
    </w:rPr>
  </w:style>
  <w:style w:type="paragraph" w:styleId="31">
    <w:name w:val="toc 3"/>
    <w:basedOn w:val="a2"/>
    <w:next w:val="a2"/>
    <w:autoRedefine/>
    <w:uiPriority w:val="39"/>
    <w:unhideWhenUsed/>
    <w:pPr>
      <w:tabs>
        <w:tab w:val="right" w:leader="dot" w:pos="10195"/>
      </w:tabs>
      <w:spacing w:after="100"/>
      <w:ind w:left="284"/>
    </w:pPr>
    <w:rPr>
      <w:rFonts w:ascii="Times New Roman" w:hAnsi="Times New Roman"/>
      <w:sz w:val="26"/>
    </w:rPr>
  </w:style>
  <w:style w:type="character" w:styleId="afa">
    <w:name w:val="Hyperlink"/>
    <w:basedOn w:val="a3"/>
    <w:uiPriority w:val="99"/>
    <w:unhideWhenUsed/>
    <w:rPr>
      <w:color w:val="5F5F5F" w:themeColor="hyperlink"/>
      <w:u w:val="single"/>
    </w:rPr>
  </w:style>
  <w:style w:type="paragraph" w:customStyle="1" w:styleId="15">
    <w:name w:val="Стиль1"/>
    <w:basedOn w:val="110"/>
    <w:link w:val="16"/>
    <w:qFormat/>
  </w:style>
  <w:style w:type="paragraph" w:customStyle="1" w:styleId="1112">
    <w:name w:val="1.1.1."/>
    <w:basedOn w:val="1110"/>
    <w:link w:val="1113"/>
    <w:qFormat/>
    <w:pPr>
      <w:spacing w:before="0" w:line="360" w:lineRule="auto"/>
    </w:pPr>
    <w:rPr>
      <w:color w:val="auto"/>
      <w:sz w:val="32"/>
      <w:szCs w:val="28"/>
    </w:rPr>
  </w:style>
  <w:style w:type="character" w:customStyle="1" w:styleId="16">
    <w:name w:val="Стиль1 Знак"/>
    <w:basedOn w:val="111"/>
    <w:link w:val="15"/>
    <w:rPr>
      <w:rFonts w:ascii="Times New Roman" w:eastAsiaTheme="majorEastAsia" w:hAnsi="Times New Roman" w:cs="Times New Roman"/>
      <w:b w:val="0"/>
      <w:bCs/>
      <w:color w:val="002060"/>
      <w:sz w:val="28"/>
      <w:szCs w:val="28"/>
    </w:rPr>
  </w:style>
  <w:style w:type="paragraph" w:customStyle="1" w:styleId="000">
    <w:name w:val="000"/>
    <w:basedOn w:val="a2"/>
    <w:link w:val="0000"/>
    <w:qFormat/>
    <w:pPr>
      <w:spacing w:after="0" w:line="360" w:lineRule="auto"/>
      <w:ind w:firstLine="709"/>
      <w:jc w:val="both"/>
    </w:pPr>
    <w:rPr>
      <w:rFonts w:ascii="Times New Roman" w:hAnsi="Times New Roman" w:cs="Times New Roman"/>
      <w:sz w:val="28"/>
      <w:szCs w:val="24"/>
    </w:rPr>
  </w:style>
  <w:style w:type="character" w:customStyle="1" w:styleId="1113">
    <w:name w:val="1.1.1. Знак"/>
    <w:basedOn w:val="1111"/>
    <w:link w:val="1112"/>
    <w:rPr>
      <w:rFonts w:ascii="Times New Roman" w:eastAsiaTheme="majorEastAsia" w:hAnsi="Times New Roman" w:cstheme="majorBidi"/>
      <w:b w:val="0"/>
      <w:bCs/>
      <w:i/>
      <w:color w:val="002060"/>
      <w:sz w:val="32"/>
      <w:szCs w:val="28"/>
    </w:rPr>
  </w:style>
  <w:style w:type="paragraph" w:customStyle="1" w:styleId="---">
    <w:name w:val="---"/>
    <w:basedOn w:val="ad"/>
    <w:link w:val="---0"/>
    <w:autoRedefine/>
    <w:qFormat/>
    <w:pPr>
      <w:numPr>
        <w:numId w:val="3"/>
      </w:numPr>
      <w:spacing w:after="0" w:line="360" w:lineRule="auto"/>
      <w:jc w:val="both"/>
    </w:pPr>
    <w:rPr>
      <w:rFonts w:ascii="Times New Roman" w:hAnsi="Times New Roman" w:cs="Times New Roman"/>
      <w:sz w:val="28"/>
      <w:szCs w:val="24"/>
    </w:rPr>
  </w:style>
  <w:style w:type="character" w:customStyle="1" w:styleId="0000">
    <w:name w:val="000 Знак"/>
    <w:basedOn w:val="a3"/>
    <w:link w:val="000"/>
    <w:rPr>
      <w:rFonts w:ascii="Times New Roman" w:hAnsi="Times New Roman" w:cs="Times New Roman"/>
      <w:sz w:val="28"/>
      <w:szCs w:val="24"/>
    </w:rPr>
  </w:style>
  <w:style w:type="paragraph" w:customStyle="1" w:styleId="S">
    <w:name w:val="S_Таблица"/>
    <w:basedOn w:val="a2"/>
    <w:autoRedefine/>
    <w:pPr>
      <w:numPr>
        <w:numId w:val="1"/>
      </w:numPr>
      <w:spacing w:after="0" w:line="360" w:lineRule="auto"/>
      <w:jc w:val="right"/>
    </w:pPr>
    <w:rPr>
      <w:rFonts w:ascii="Times New Roman" w:eastAsia="Calibri" w:hAnsi="Times New Roman" w:cs="Times New Roman"/>
      <w:b/>
      <w:color w:val="000000"/>
      <w:sz w:val="24"/>
      <w:szCs w:val="24"/>
      <w:lang w:eastAsia="ru-RU"/>
    </w:rPr>
  </w:style>
  <w:style w:type="character" w:customStyle="1" w:styleId="ae">
    <w:name w:val="Абзац списка Знак"/>
    <w:aliases w:val="Абзац2 Знак,Абзац 2 Знак,List Paragraph Знак,Заголовок 3 Шелестов1 Знак"/>
    <w:basedOn w:val="a3"/>
    <w:link w:val="ad"/>
    <w:uiPriority w:val="34"/>
  </w:style>
  <w:style w:type="character" w:customStyle="1" w:styleId="---0">
    <w:name w:val="--- Знак"/>
    <w:basedOn w:val="ae"/>
    <w:link w:val="---"/>
    <w:rPr>
      <w:rFonts w:ascii="Times New Roman" w:hAnsi="Times New Roman" w:cs="Times New Roman"/>
      <w:sz w:val="28"/>
      <w:szCs w:val="24"/>
    </w:rPr>
  </w:style>
  <w:style w:type="paragraph" w:customStyle="1" w:styleId="afb">
    <w:name w:val="Название предприятия"/>
    <w:basedOn w:val="a2"/>
    <w:semiHidden/>
    <w:locked/>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styleId="afc">
    <w:name w:val="Normal (Web)"/>
    <w:basedOn w:val="a2"/>
    <w:uiPriority w:val="99"/>
    <w:unhideWhenUs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wrap1">
    <w:name w:val="nowrap1"/>
    <w:basedOn w:val="a3"/>
  </w:style>
  <w:style w:type="paragraph" w:customStyle="1" w:styleId="S0">
    <w:name w:val="S_Обычный"/>
    <w:basedOn w:val="a2"/>
    <w:link w:val="S1"/>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1">
    <w:name w:val="S_Обычный Знак"/>
    <w:basedOn w:val="a3"/>
    <w:link w:val="S0"/>
    <w:rPr>
      <w:rFonts w:ascii="Times New Roman" w:eastAsia="Times New Roman" w:hAnsi="Times New Roman" w:cs="Times New Roman"/>
      <w:sz w:val="24"/>
      <w:szCs w:val="24"/>
      <w:lang w:eastAsia="ru-RU"/>
    </w:rPr>
  </w:style>
  <w:style w:type="paragraph" w:customStyle="1" w:styleId="Default">
    <w:name w:val="Default"/>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2">
    <w:name w:val="S_Заголовок таблицы"/>
    <w:basedOn w:val="a2"/>
    <w:pPr>
      <w:spacing w:after="0" w:line="360" w:lineRule="auto"/>
      <w:ind w:firstLine="709"/>
      <w:jc w:val="center"/>
    </w:pPr>
    <w:rPr>
      <w:rFonts w:ascii="Times New Roman" w:eastAsia="Times New Roman" w:hAnsi="Times New Roman" w:cs="Times New Roman"/>
      <w:sz w:val="24"/>
      <w:szCs w:val="24"/>
      <w:u w:val="single"/>
      <w:lang w:eastAsia="ru-RU"/>
    </w:rPr>
  </w:style>
  <w:style w:type="character" w:customStyle="1" w:styleId="afd">
    <w:name w:val="Основной текст с отступом Знак"/>
    <w:aliases w:val="Мой Заголовок 1 Знак,Основной текст 1 Знак,Iniiaiie oaeno 1 Знак"/>
    <w:basedOn w:val="a3"/>
    <w:link w:val="afe"/>
    <w:uiPriority w:val="99"/>
    <w:locked/>
    <w:rPr>
      <w:rFonts w:ascii="Arial" w:hAnsi="Arial" w:cs="Arial"/>
      <w:sz w:val="24"/>
      <w:szCs w:val="24"/>
    </w:rPr>
  </w:style>
  <w:style w:type="paragraph" w:styleId="afe">
    <w:name w:val="Body Text Indent"/>
    <w:aliases w:val="Мой Заголовок 1,Основной текст 1,Iniiaiie oaeno 1"/>
    <w:basedOn w:val="a2"/>
    <w:link w:val="afd"/>
    <w:uiPriority w:val="99"/>
    <w:unhideWhenUsed/>
    <w:pPr>
      <w:spacing w:after="0" w:line="288" w:lineRule="auto"/>
      <w:ind w:firstLine="709"/>
      <w:jc w:val="both"/>
    </w:pPr>
    <w:rPr>
      <w:rFonts w:ascii="Arial" w:hAnsi="Arial" w:cs="Arial"/>
      <w:sz w:val="24"/>
      <w:szCs w:val="24"/>
    </w:rPr>
  </w:style>
  <w:style w:type="character" w:customStyle="1" w:styleId="17">
    <w:name w:val="Основной текст с отступом Знак1"/>
    <w:basedOn w:val="a3"/>
    <w:uiPriority w:val="99"/>
    <w:semiHidden/>
  </w:style>
  <w:style w:type="character" w:customStyle="1" w:styleId="searchmatch">
    <w:name w:val="searchmatch"/>
    <w:basedOn w:val="a3"/>
  </w:style>
  <w:style w:type="paragraph" w:styleId="aff">
    <w:name w:val="Body Text"/>
    <w:basedOn w:val="a2"/>
    <w:link w:val="aff0"/>
    <w:unhideWhenUsed/>
    <w:qFormat/>
    <w:pPr>
      <w:spacing w:after="120"/>
    </w:pPr>
  </w:style>
  <w:style w:type="character" w:customStyle="1" w:styleId="aff0">
    <w:name w:val="Основной текст Знак"/>
    <w:basedOn w:val="a3"/>
    <w:link w:val="aff"/>
  </w:style>
  <w:style w:type="table" w:customStyle="1" w:styleId="18">
    <w:name w:val="Сетка таблицы1"/>
    <w:basedOn w:val="a4"/>
    <w:next w:val="af"/>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basedOn w:val="a3"/>
    <w:uiPriority w:val="22"/>
    <w:qFormat/>
    <w:rPr>
      <w:b/>
      <w:bCs/>
    </w:rPr>
  </w:style>
  <w:style w:type="character" w:customStyle="1" w:styleId="19">
    <w:name w:val="Неразрешенное упоминание1"/>
    <w:basedOn w:val="a3"/>
    <w:uiPriority w:val="99"/>
    <w:semiHidden/>
    <w:unhideWhenUsed/>
    <w:rPr>
      <w:color w:val="808080"/>
      <w:shd w:val="clear" w:color="auto" w:fill="E6E6E6"/>
    </w:rPr>
  </w:style>
  <w:style w:type="table" w:customStyle="1" w:styleId="TableNormal">
    <w:name w:val="Table Normal"/>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pPr>
      <w:widowControl w:val="0"/>
      <w:spacing w:after="0" w:line="240" w:lineRule="auto"/>
    </w:pPr>
    <w:rPr>
      <w:lang w:val="en-US"/>
    </w:rPr>
  </w:style>
  <w:style w:type="numbering" w:customStyle="1" w:styleId="1a">
    <w:name w:val="Нет списка1"/>
    <w:next w:val="a5"/>
    <w:uiPriority w:val="99"/>
    <w:semiHidden/>
    <w:unhideWhenUsed/>
  </w:style>
  <w:style w:type="character" w:styleId="aff2">
    <w:name w:val="FollowedHyperlink"/>
    <w:basedOn w:val="a3"/>
    <w:uiPriority w:val="99"/>
    <w:unhideWhenUsed/>
    <w:rPr>
      <w:color w:val="954F72"/>
      <w:u w:val="single"/>
    </w:rPr>
  </w:style>
  <w:style w:type="paragraph" w:customStyle="1" w:styleId="msonormal0">
    <w:name w:val="msonormal"/>
    <w:basedOn w:val="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2"/>
    <w:pPr>
      <w:pBdr>
        <w:top w:val="single" w:sz="8" w:space="0" w:color="auto"/>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6">
    <w:name w:val="xl66"/>
    <w:basedOn w:val="a2"/>
    <w:pPr>
      <w:pBdr>
        <w:left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7">
    <w:name w:val="xl67"/>
    <w:basedOn w:val="a2"/>
    <w:pPr>
      <w:pBdr>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8">
    <w:name w:val="xl68"/>
    <w:basedOn w:val="a2"/>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2"/>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2"/>
    <w:pPr>
      <w:pBdr>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1">
    <w:name w:val="xl71"/>
    <w:basedOn w:val="a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2">
    <w:name w:val="xl72"/>
    <w:basedOn w:val="a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3">
    <w:name w:val="xl73"/>
    <w:basedOn w:val="a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2"/>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6">
    <w:name w:val="xl76"/>
    <w:basedOn w:val="a2"/>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7">
    <w:name w:val="xl77"/>
    <w:basedOn w:val="a2"/>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78">
    <w:name w:val="xl78"/>
    <w:basedOn w:val="a2"/>
    <w:pPr>
      <w:pBdr>
        <w:top w:val="single" w:sz="8" w:space="0" w:color="auto"/>
        <w:left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2"/>
    <w:pPr>
      <w:pBdr>
        <w:top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2"/>
    <w:pPr>
      <w:pBdr>
        <w:top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22">
    <w:name w:val="Body Text Indent 2"/>
    <w:basedOn w:val="a2"/>
    <w:link w:val="23"/>
    <w:unhideWhenUsed/>
    <w:pPr>
      <w:spacing w:after="120" w:line="480" w:lineRule="auto"/>
      <w:ind w:left="283"/>
    </w:pPr>
  </w:style>
  <w:style w:type="character" w:customStyle="1" w:styleId="23">
    <w:name w:val="Основной текст с отступом 2 Знак"/>
    <w:basedOn w:val="a3"/>
    <w:link w:val="22"/>
  </w:style>
  <w:style w:type="table" w:customStyle="1" w:styleId="TableNormal1">
    <w:name w:val="Table Normal1"/>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character" w:styleId="aff3">
    <w:name w:val="Emphasis"/>
    <w:basedOn w:val="a3"/>
    <w:uiPriority w:val="20"/>
    <w:qFormat/>
    <w:rPr>
      <w:i/>
      <w:iCs/>
    </w:rPr>
  </w:style>
  <w:style w:type="character" w:customStyle="1" w:styleId="blk">
    <w:name w:val="blk"/>
    <w:basedOn w:val="a3"/>
  </w:style>
  <w:style w:type="paragraph" w:customStyle="1" w:styleId="ConsPlusNonformat">
    <w:name w:val="ConsPlusNonformat"/>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b">
    <w:name w:val="1_таблица"/>
    <w:basedOn w:val="a2"/>
    <w:link w:val="1c"/>
    <w:qFormat/>
    <w:pPr>
      <w:spacing w:after="0" w:line="240" w:lineRule="auto"/>
    </w:pPr>
    <w:rPr>
      <w:rFonts w:ascii="Times New Roman" w:hAnsi="Times New Roman" w:cs="Times New Roman"/>
      <w:sz w:val="20"/>
      <w:szCs w:val="20"/>
    </w:rPr>
  </w:style>
  <w:style w:type="paragraph" w:customStyle="1" w:styleId="1d">
    <w:name w:val="1_наз_таблицы"/>
    <w:basedOn w:val="a2"/>
    <w:link w:val="1e"/>
    <w:qFormat/>
    <w:pPr>
      <w:keepNext/>
      <w:widowControl w:val="0"/>
      <w:spacing w:line="240" w:lineRule="auto"/>
      <w:ind w:firstLine="720"/>
      <w:jc w:val="both"/>
    </w:pPr>
    <w:rPr>
      <w:rFonts w:ascii="Times New Roman" w:hAnsi="Times New Roman" w:cs="Times New Roman"/>
      <w:bCs/>
      <w:i/>
      <w:sz w:val="20"/>
      <w:szCs w:val="20"/>
    </w:rPr>
  </w:style>
  <w:style w:type="character" w:customStyle="1" w:styleId="1c">
    <w:name w:val="1_таблица Знак"/>
    <w:basedOn w:val="a3"/>
    <w:link w:val="1b"/>
    <w:rPr>
      <w:rFonts w:ascii="Times New Roman" w:hAnsi="Times New Roman" w:cs="Times New Roman"/>
      <w:sz w:val="20"/>
      <w:szCs w:val="20"/>
    </w:rPr>
  </w:style>
  <w:style w:type="character" w:customStyle="1" w:styleId="50">
    <w:name w:val="Заголовок 5 Знак"/>
    <w:basedOn w:val="a3"/>
    <w:link w:val="5"/>
    <w:uiPriority w:val="9"/>
    <w:rPr>
      <w:rFonts w:asciiTheme="majorHAnsi" w:eastAsiaTheme="majorEastAsia" w:hAnsiTheme="majorHAnsi" w:cstheme="majorBidi"/>
      <w:color w:val="A5A5A5" w:themeColor="accent1" w:themeShade="BF"/>
    </w:rPr>
  </w:style>
  <w:style w:type="character" w:customStyle="1" w:styleId="1e">
    <w:name w:val="1_наз_таблицы Знак"/>
    <w:basedOn w:val="a3"/>
    <w:link w:val="1d"/>
    <w:rPr>
      <w:rFonts w:ascii="Times New Roman" w:hAnsi="Times New Roman" w:cs="Times New Roman"/>
      <w:bCs/>
      <w:i/>
      <w:sz w:val="20"/>
      <w:szCs w:val="20"/>
    </w:rPr>
  </w:style>
  <w:style w:type="character" w:styleId="aff4">
    <w:name w:val="page number"/>
    <w:basedOn w:val="a3"/>
  </w:style>
  <w:style w:type="paragraph" w:customStyle="1" w:styleId="aff5">
    <w:name w:val="По центру"/>
    <w:basedOn w:val="a2"/>
    <w:autoRedefine/>
    <w:pPr>
      <w:framePr w:hSpace="180" w:wrap="around" w:vAnchor="page" w:hAnchor="margin" w:x="817" w:y="2461"/>
      <w:spacing w:after="0" w:line="240" w:lineRule="auto"/>
      <w:ind w:left="-142"/>
      <w:jc w:val="center"/>
    </w:pPr>
    <w:rPr>
      <w:rFonts w:ascii="Arial" w:eastAsia="Times New Roman" w:hAnsi="Arial" w:cs="Times New Roman"/>
      <w:sz w:val="24"/>
      <w:szCs w:val="24"/>
      <w:lang w:eastAsia="ru-RU"/>
    </w:rPr>
  </w:style>
  <w:style w:type="paragraph" w:customStyle="1" w:styleId="514">
    <w:name w:val="Заголовок 5 + 14 пт"/>
    <w:basedOn w:val="5"/>
    <w:link w:val="5140"/>
    <w:pPr>
      <w:keepLines w:val="0"/>
      <w:spacing w:before="0" w:line="240" w:lineRule="auto"/>
      <w:jc w:val="center"/>
    </w:pPr>
    <w:rPr>
      <w:rFonts w:ascii="Arial" w:eastAsia="Times New Roman" w:hAnsi="Arial" w:cs="Times New Roman"/>
      <w:b/>
      <w:bCs/>
      <w:caps/>
      <w:color w:val="auto"/>
      <w:sz w:val="28"/>
      <w:szCs w:val="28"/>
      <w:lang w:eastAsia="ru-RU"/>
    </w:rPr>
  </w:style>
  <w:style w:type="character" w:customStyle="1" w:styleId="5140">
    <w:name w:val="Заголовок 5 + 14 пт Знак"/>
    <w:link w:val="514"/>
    <w:rPr>
      <w:rFonts w:ascii="Arial" w:eastAsia="Times New Roman" w:hAnsi="Arial" w:cs="Times New Roman"/>
      <w:b/>
      <w:bCs/>
      <w:caps/>
      <w:sz w:val="28"/>
      <w:szCs w:val="28"/>
      <w:lang w:eastAsia="ru-RU"/>
    </w:rPr>
  </w:style>
  <w:style w:type="paragraph" w:styleId="41">
    <w:name w:val="toc 4"/>
    <w:basedOn w:val="a2"/>
    <w:next w:val="a2"/>
    <w:autoRedefine/>
    <w:unhideWhenUsed/>
    <w:pPr>
      <w:spacing w:after="100"/>
      <w:ind w:left="660"/>
    </w:pPr>
  </w:style>
  <w:style w:type="paragraph" w:styleId="91">
    <w:name w:val="toc 9"/>
    <w:basedOn w:val="a2"/>
    <w:next w:val="a2"/>
    <w:autoRedefine/>
    <w:uiPriority w:val="39"/>
    <w:unhideWhenUsed/>
    <w:pPr>
      <w:spacing w:after="100"/>
      <w:ind w:left="1760"/>
    </w:pPr>
  </w:style>
  <w:style w:type="paragraph" w:customStyle="1" w:styleId="0">
    <w:name w:val="Стиль По центру Первая строка:  0 см"/>
    <w:basedOn w:val="a2"/>
    <w:pPr>
      <w:spacing w:after="0" w:line="240" w:lineRule="auto"/>
      <w:jc w:val="center"/>
    </w:pPr>
    <w:rPr>
      <w:rFonts w:ascii="Arial" w:eastAsia="Times New Roman" w:hAnsi="Arial" w:cs="Times New Roman"/>
      <w:sz w:val="24"/>
      <w:szCs w:val="20"/>
      <w:lang w:eastAsia="ru-RU"/>
    </w:rPr>
  </w:style>
  <w:style w:type="paragraph" w:customStyle="1" w:styleId="aff6">
    <w:name w:val="Табличный_заголовки"/>
    <w:basedOn w:val="a2"/>
    <w:pPr>
      <w:keepNext/>
      <w:keepLines/>
      <w:spacing w:after="0" w:line="240" w:lineRule="auto"/>
      <w:jc w:val="center"/>
    </w:pPr>
    <w:rPr>
      <w:rFonts w:eastAsia="Times New Roman" w:cs="Times New Roman"/>
      <w:b/>
      <w:lang w:eastAsia="ru-RU"/>
    </w:rPr>
  </w:style>
  <w:style w:type="paragraph" w:customStyle="1" w:styleId="aff7">
    <w:name w:val="Табличный_центр"/>
    <w:basedOn w:val="a2"/>
    <w:pPr>
      <w:shd w:val="clear" w:color="auto" w:fill="FFFFFF" w:themeFill="background1"/>
      <w:spacing w:after="0" w:line="240" w:lineRule="auto"/>
      <w:jc w:val="center"/>
    </w:pPr>
    <w:rPr>
      <w:rFonts w:eastAsia="Times New Roman" w:cs="Times New Roman"/>
      <w:lang w:eastAsia="ru-RU"/>
    </w:rPr>
  </w:style>
  <w:style w:type="paragraph" w:customStyle="1" w:styleId="S3">
    <w:name w:val="S_Титульный"/>
    <w:basedOn w:val="a2"/>
    <w:pPr>
      <w:spacing w:before="200" w:after="200" w:line="360" w:lineRule="auto"/>
      <w:ind w:left="3240"/>
      <w:jc w:val="right"/>
    </w:pPr>
    <w:rPr>
      <w:rFonts w:ascii="Calibri" w:eastAsia="Times New Roman" w:hAnsi="Calibri" w:cs="Times New Roman"/>
      <w:b/>
      <w:sz w:val="32"/>
      <w:szCs w:val="32"/>
      <w:lang w:val="en-US" w:bidi="en-US"/>
    </w:rPr>
  </w:style>
  <w:style w:type="paragraph" w:customStyle="1" w:styleId="aff8">
    <w:name w:val="ООО  «Институт Территориального Планирования"/>
    <w:basedOn w:val="a2"/>
    <w:link w:val="aff9"/>
    <w:pPr>
      <w:spacing w:before="200" w:after="200" w:line="360" w:lineRule="auto"/>
      <w:ind w:left="709"/>
      <w:jc w:val="right"/>
    </w:pPr>
    <w:rPr>
      <w:rFonts w:ascii="Calibri" w:eastAsia="Times New Roman" w:hAnsi="Calibri" w:cs="Times New Roman"/>
      <w:sz w:val="24"/>
      <w:szCs w:val="24"/>
      <w:lang w:eastAsia="ru-RU"/>
    </w:rPr>
  </w:style>
  <w:style w:type="character" w:customStyle="1" w:styleId="aff9">
    <w:name w:val="ООО  «Институт Территориального Планирования Знак"/>
    <w:link w:val="aff8"/>
    <w:rPr>
      <w:rFonts w:ascii="Calibri" w:eastAsia="Times New Roman" w:hAnsi="Calibri" w:cs="Times New Roman"/>
      <w:sz w:val="24"/>
      <w:szCs w:val="24"/>
      <w:lang w:eastAsia="ru-RU"/>
    </w:rPr>
  </w:style>
  <w:style w:type="table" w:customStyle="1" w:styleId="affa">
    <w:name w:val="Стиль Таблица Геоника"/>
    <w:basedOn w:val="a4"/>
    <w:uiPriority w:val="99"/>
    <w:pPr>
      <w:spacing w:after="0" w:line="240" w:lineRule="auto"/>
    </w:pPr>
    <w:rPr>
      <w:rFonts w:ascii="Times New Roman" w:eastAsia="Times New Roman" w:hAnsi="Times New Roman" w:cs="Times New Roman"/>
      <w:sz w:val="20"/>
      <w:szCs w:val="20"/>
      <w:lang w:eastAsia="ru-RU"/>
    </w:rPr>
    <w:tblPr>
      <w:tblBorders>
        <w:top w:val="single" w:sz="4" w:space="0" w:color="DDDDDD" w:themeColor="accent1"/>
        <w:left w:val="single" w:sz="4" w:space="0" w:color="DDDDDD" w:themeColor="accent1"/>
        <w:bottom w:val="single" w:sz="4" w:space="0" w:color="DDDDDD" w:themeColor="accent1"/>
        <w:right w:val="single" w:sz="4" w:space="0" w:color="DDDDDD" w:themeColor="accent1"/>
        <w:insideH w:val="single" w:sz="4" w:space="0" w:color="DDDDDD" w:themeColor="accent1"/>
        <w:insideV w:val="single" w:sz="4" w:space="0" w:color="DDDDDD" w:themeColor="accent1"/>
      </w:tblBorders>
    </w:tblPr>
    <w:tcPr>
      <w:shd w:val="clear" w:color="auto" w:fill="FFFFFF" w:themeFill="background1"/>
    </w:tcPr>
  </w:style>
  <w:style w:type="character" w:customStyle="1" w:styleId="1f">
    <w:name w:val="Текст примечания Знак1"/>
    <w:uiPriority w:val="99"/>
    <w:rPr>
      <w:rFonts w:ascii="Times New Roman" w:eastAsia="Times New Roman" w:hAnsi="Times New Roman" w:cs="Times New Roman"/>
      <w:sz w:val="20"/>
      <w:szCs w:val="20"/>
      <w:lang w:eastAsia="ru-RU"/>
    </w:rPr>
  </w:style>
  <w:style w:type="paragraph" w:customStyle="1" w:styleId="Normal1">
    <w:name w:val="Normal1"/>
    <w:pPr>
      <w:spacing w:after="0" w:line="260" w:lineRule="auto"/>
      <w:ind w:firstLine="720"/>
      <w:jc w:val="both"/>
    </w:pPr>
    <w:rPr>
      <w:rFonts w:ascii="Times New Roman" w:eastAsia="Times New Roman" w:hAnsi="Times New Roman" w:cs="Times New Roman"/>
      <w:snapToGrid w:val="0"/>
      <w:szCs w:val="20"/>
      <w:lang w:eastAsia="ru-RU"/>
    </w:rPr>
  </w:style>
  <w:style w:type="paragraph" w:customStyle="1" w:styleId="Normal10-02">
    <w:name w:val="Normal + 10 пт полужирный По центру Слева:  -02 см Справ..."/>
    <w:basedOn w:val="a2"/>
    <w:link w:val="Normal10-020"/>
    <w:pPr>
      <w:spacing w:after="0" w:line="240" w:lineRule="auto"/>
      <w:ind w:right="-113"/>
    </w:pPr>
    <w:rPr>
      <w:rFonts w:ascii="Times New Roman" w:eastAsia="Calibri"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Pr>
      <w:rFonts w:ascii="Times New Roman" w:eastAsia="Calibri" w:hAnsi="Times New Roman" w:cs="Times New Roman"/>
      <w:b/>
      <w:bCs/>
      <w:sz w:val="20"/>
      <w:szCs w:val="20"/>
      <w:lang w:eastAsia="ru-RU"/>
    </w:rPr>
  </w:style>
  <w:style w:type="paragraph" w:customStyle="1" w:styleId="affb">
    <w:name w:val="Табличный_слева"/>
    <w:basedOn w:val="a2"/>
    <w:pPr>
      <w:spacing w:after="0" w:line="240" w:lineRule="auto"/>
    </w:pPr>
    <w:rPr>
      <w:rFonts w:eastAsia="Times New Roman" w:cs="Times New Roman"/>
      <w:lang w:eastAsia="ru-RU"/>
    </w:rPr>
  </w:style>
  <w:style w:type="paragraph" w:customStyle="1" w:styleId="G">
    <w:name w:val="G_Маркированый список"/>
    <w:basedOn w:val="a2"/>
    <w:link w:val="G0"/>
    <w:qFormat/>
    <w:pPr>
      <w:numPr>
        <w:numId w:val="2"/>
      </w:numPr>
      <w:tabs>
        <w:tab w:val="left" w:pos="993"/>
      </w:tabs>
      <w:spacing w:before="80" w:after="60" w:line="240" w:lineRule="auto"/>
      <w:jc w:val="both"/>
    </w:pPr>
    <w:rPr>
      <w:rFonts w:ascii="Calibri" w:eastAsia="Times New Roman" w:hAnsi="Calibri" w:cs="Times New Roman"/>
      <w:sz w:val="24"/>
      <w:szCs w:val="24"/>
      <w:lang w:bidi="en-US"/>
    </w:rPr>
  </w:style>
  <w:style w:type="character" w:customStyle="1" w:styleId="G0">
    <w:name w:val="G_Маркированый список Знак"/>
    <w:link w:val="G"/>
    <w:rPr>
      <w:rFonts w:ascii="Calibri" w:eastAsia="Times New Roman" w:hAnsi="Calibri" w:cs="Times New Roman"/>
      <w:sz w:val="24"/>
      <w:szCs w:val="24"/>
      <w:lang w:bidi="en-US"/>
    </w:rPr>
  </w:style>
  <w:style w:type="paragraph" w:customStyle="1" w:styleId="affc">
    <w:name w:val="Обычный текст"/>
    <w:basedOn w:val="a2"/>
    <w:link w:val="affd"/>
    <w:uiPriority w:val="99"/>
    <w:qFormat/>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d">
    <w:name w:val="Обычный текст Знак"/>
    <w:basedOn w:val="a3"/>
    <w:link w:val="affc"/>
    <w:uiPriority w:val="99"/>
    <w:locked/>
    <w:rPr>
      <w:rFonts w:ascii="Times New Roman" w:eastAsia="Times New Roman" w:hAnsi="Times New Roman" w:cs="Times New Roman"/>
      <w:sz w:val="28"/>
      <w:szCs w:val="28"/>
      <w:lang w:eastAsia="ru-RU"/>
    </w:rPr>
  </w:style>
  <w:style w:type="table" w:customStyle="1" w:styleId="1f0">
    <w:name w:val="Стиль Таблица Геоника1"/>
    <w:basedOn w:val="a4"/>
    <w:uiPriority w:val="99"/>
    <w:pPr>
      <w:spacing w:after="0" w:line="240" w:lineRule="auto"/>
    </w:pPr>
    <w:rPr>
      <w:rFonts w:ascii="Times New Roman" w:eastAsia="Times New Roman" w:hAnsi="Times New Roman" w:cs="Times New Roman"/>
      <w:sz w:val="20"/>
      <w:szCs w:val="20"/>
      <w:lang w:eastAsia="ru-RU"/>
    </w:rPr>
    <w:tblPr>
      <w:tblBorders>
        <w:top w:val="single" w:sz="4" w:space="0" w:color="DDDDDD" w:themeColor="accent1"/>
        <w:left w:val="single" w:sz="4" w:space="0" w:color="DDDDDD" w:themeColor="accent1"/>
        <w:bottom w:val="single" w:sz="4" w:space="0" w:color="DDDDDD" w:themeColor="accent1"/>
        <w:right w:val="single" w:sz="4" w:space="0" w:color="DDDDDD" w:themeColor="accent1"/>
        <w:insideH w:val="single" w:sz="4" w:space="0" w:color="DDDDDD" w:themeColor="accent1"/>
        <w:insideV w:val="single" w:sz="4" w:space="0" w:color="DDDDDD" w:themeColor="accent1"/>
      </w:tblBorders>
    </w:tblPr>
    <w:tcPr>
      <w:shd w:val="clear" w:color="auto" w:fill="FFFFFF" w:themeFill="background1"/>
    </w:tcPr>
  </w:style>
  <w:style w:type="table" w:customStyle="1" w:styleId="24">
    <w:name w:val="Стиль Таблица Геоника2"/>
    <w:basedOn w:val="a4"/>
    <w:uiPriority w:val="99"/>
    <w:pPr>
      <w:spacing w:after="0" w:line="240" w:lineRule="auto"/>
    </w:pPr>
    <w:rPr>
      <w:rFonts w:ascii="Times New Roman" w:eastAsia="Times New Roman" w:hAnsi="Times New Roman" w:cs="Times New Roman"/>
      <w:sz w:val="20"/>
      <w:szCs w:val="20"/>
      <w:lang w:eastAsia="ru-RU"/>
    </w:rPr>
    <w:tblPr>
      <w:tblBorders>
        <w:top w:val="single" w:sz="4" w:space="0" w:color="DDDDDD" w:themeColor="accent1"/>
        <w:left w:val="single" w:sz="4" w:space="0" w:color="DDDDDD" w:themeColor="accent1"/>
        <w:bottom w:val="single" w:sz="4" w:space="0" w:color="DDDDDD" w:themeColor="accent1"/>
        <w:right w:val="single" w:sz="4" w:space="0" w:color="DDDDDD" w:themeColor="accent1"/>
        <w:insideH w:val="single" w:sz="4" w:space="0" w:color="DDDDDD" w:themeColor="accent1"/>
        <w:insideV w:val="single" w:sz="4" w:space="0" w:color="DDDDDD" w:themeColor="accent1"/>
      </w:tblBorders>
    </w:tblPr>
    <w:tcPr>
      <w:shd w:val="clear" w:color="auto" w:fill="FFFFFF" w:themeFill="background1"/>
    </w:tcPr>
  </w:style>
  <w:style w:type="paragraph" w:customStyle="1" w:styleId="Iniiaiieoaeno">
    <w:name w:val="Iniiaiie oaeno"/>
    <w:basedOn w:val="a2"/>
    <w:pPr>
      <w:spacing w:after="0" w:line="240" w:lineRule="auto"/>
      <w:jc w:val="both"/>
    </w:pPr>
    <w:rPr>
      <w:rFonts w:ascii="Peterburg" w:eastAsia="Times New Roman" w:hAnsi="Peterburg" w:cs="Times New Roman"/>
      <w:sz w:val="20"/>
      <w:szCs w:val="20"/>
      <w:lang w:eastAsia="ru-RU"/>
    </w:rPr>
  </w:style>
  <w:style w:type="paragraph" w:customStyle="1" w:styleId="affe">
    <w:name w:val="Абзац"/>
    <w:basedOn w:val="a2"/>
    <w:link w:val="afff"/>
    <w:qFormat/>
    <w:pPr>
      <w:spacing w:before="120" w:after="60" w:line="240" w:lineRule="auto"/>
      <w:ind w:firstLine="567"/>
      <w:jc w:val="both"/>
    </w:pPr>
    <w:rPr>
      <w:rFonts w:eastAsia="Times New Roman" w:cs="Times New Roman"/>
      <w:sz w:val="24"/>
      <w:szCs w:val="24"/>
      <w:lang w:eastAsia="ru-RU"/>
    </w:rPr>
  </w:style>
  <w:style w:type="character" w:customStyle="1" w:styleId="afff">
    <w:name w:val="Абзац Знак"/>
    <w:link w:val="affe"/>
    <w:rPr>
      <w:rFonts w:eastAsia="Times New Roman" w:cs="Times New Roman"/>
      <w:sz w:val="24"/>
      <w:szCs w:val="24"/>
      <w:lang w:eastAsia="ru-RU"/>
    </w:rPr>
  </w:style>
  <w:style w:type="paragraph" w:customStyle="1" w:styleId="G1">
    <w:name w:val="G_Обычный текст"/>
    <w:basedOn w:val="affe"/>
    <w:link w:val="G2"/>
    <w:qFormat/>
  </w:style>
  <w:style w:type="character" w:customStyle="1" w:styleId="G2">
    <w:name w:val="G_Обычный текст Знак"/>
    <w:link w:val="G1"/>
    <w:rPr>
      <w:rFonts w:eastAsia="Times New Roman" w:cs="Times New Roman"/>
      <w:sz w:val="24"/>
      <w:szCs w:val="24"/>
      <w:lang w:eastAsia="ru-RU"/>
    </w:rPr>
  </w:style>
  <w:style w:type="paragraph" w:styleId="51">
    <w:name w:val="toc 5"/>
    <w:basedOn w:val="a2"/>
    <w:next w:val="a2"/>
    <w:autoRedefine/>
    <w:unhideWhenUsed/>
    <w:pPr>
      <w:spacing w:after="100"/>
      <w:ind w:left="880"/>
    </w:pPr>
    <w:rPr>
      <w:rFonts w:eastAsiaTheme="minorEastAsia"/>
      <w:lang w:eastAsia="ru-RU"/>
    </w:rPr>
  </w:style>
  <w:style w:type="paragraph" w:styleId="61">
    <w:name w:val="toc 6"/>
    <w:basedOn w:val="a2"/>
    <w:next w:val="a2"/>
    <w:autoRedefine/>
    <w:unhideWhenUsed/>
    <w:pPr>
      <w:spacing w:after="100"/>
      <w:ind w:left="1100"/>
    </w:pPr>
    <w:rPr>
      <w:rFonts w:eastAsiaTheme="minorEastAsia"/>
      <w:lang w:eastAsia="ru-RU"/>
    </w:rPr>
  </w:style>
  <w:style w:type="paragraph" w:styleId="7">
    <w:name w:val="toc 7"/>
    <w:basedOn w:val="a2"/>
    <w:next w:val="a2"/>
    <w:autoRedefine/>
    <w:unhideWhenUsed/>
    <w:pPr>
      <w:spacing w:after="100"/>
      <w:ind w:left="1320"/>
    </w:pPr>
    <w:rPr>
      <w:rFonts w:eastAsiaTheme="minorEastAsia"/>
      <w:lang w:eastAsia="ru-RU"/>
    </w:rPr>
  </w:style>
  <w:style w:type="paragraph" w:styleId="8">
    <w:name w:val="toc 8"/>
    <w:basedOn w:val="a2"/>
    <w:next w:val="a2"/>
    <w:autoRedefine/>
    <w:unhideWhenUsed/>
    <w:pPr>
      <w:spacing w:after="100"/>
      <w:ind w:left="1540"/>
    </w:pPr>
    <w:rPr>
      <w:rFonts w:eastAsiaTheme="minorEastAsia"/>
      <w:lang w:eastAsia="ru-RU"/>
    </w:rPr>
  </w:style>
  <w:style w:type="paragraph" w:customStyle="1" w:styleId="afff0">
    <w:name w:val="Основной ГП"/>
    <w:basedOn w:val="a2"/>
    <w:link w:val="afff1"/>
    <w:qFormat/>
    <w:pPr>
      <w:spacing w:before="120" w:after="0" w:line="276" w:lineRule="auto"/>
      <w:ind w:firstLine="709"/>
      <w:jc w:val="both"/>
    </w:pPr>
    <w:rPr>
      <w:rFonts w:ascii="Tahoma" w:eastAsia="Times New Roman" w:hAnsi="Tahoma" w:cs="Times New Roman"/>
      <w:sz w:val="24"/>
      <w:szCs w:val="24"/>
      <w:lang w:val="x-none" w:eastAsia="x-none"/>
    </w:rPr>
  </w:style>
  <w:style w:type="character" w:customStyle="1" w:styleId="afff1">
    <w:name w:val="Основной ГП Знак"/>
    <w:link w:val="afff0"/>
    <w:rPr>
      <w:rFonts w:ascii="Tahoma" w:eastAsia="Times New Roman" w:hAnsi="Tahoma" w:cs="Times New Roman"/>
      <w:sz w:val="24"/>
      <w:szCs w:val="24"/>
      <w:lang w:val="x-none" w:eastAsia="x-none"/>
    </w:rPr>
  </w:style>
  <w:style w:type="character" w:customStyle="1" w:styleId="40">
    <w:name w:val="Заголовок 4 Знак"/>
    <w:basedOn w:val="a3"/>
    <w:link w:val="4"/>
    <w:uiPriority w:val="9"/>
    <w:rPr>
      <w:rFonts w:asciiTheme="majorHAnsi" w:eastAsiaTheme="majorEastAsia" w:hAnsiTheme="majorHAnsi" w:cstheme="majorBidi"/>
      <w:i/>
      <w:iCs/>
      <w:color w:val="A5A5A5" w:themeColor="accent1" w:themeShade="BF"/>
    </w:rPr>
  </w:style>
  <w:style w:type="character" w:customStyle="1" w:styleId="apple-converted-space">
    <w:name w:val="apple-converted-space"/>
    <w:basedOn w:val="a3"/>
  </w:style>
  <w:style w:type="paragraph" w:customStyle="1" w:styleId="xl81">
    <w:name w:val="xl81"/>
    <w:basedOn w:val="a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2">
    <w:name w:val="Subtitle"/>
    <w:basedOn w:val="a2"/>
    <w:next w:val="a2"/>
    <w:link w:val="afff3"/>
    <w:uiPriority w:val="11"/>
    <w:qFormat/>
    <w:pPr>
      <w:numPr>
        <w:ilvl w:val="1"/>
      </w:numPr>
    </w:pPr>
    <w:rPr>
      <w:rFonts w:eastAsiaTheme="minorEastAsia"/>
      <w:color w:val="5A5A5A" w:themeColor="text1" w:themeTint="A5"/>
      <w:spacing w:val="15"/>
    </w:rPr>
  </w:style>
  <w:style w:type="character" w:customStyle="1" w:styleId="afff3">
    <w:name w:val="Подзаголовок Знак"/>
    <w:basedOn w:val="a3"/>
    <w:link w:val="afff2"/>
    <w:uiPriority w:val="11"/>
    <w:rPr>
      <w:rFonts w:eastAsiaTheme="minorEastAsia"/>
      <w:color w:val="5A5A5A" w:themeColor="text1" w:themeTint="A5"/>
      <w:spacing w:val="15"/>
    </w:rPr>
  </w:style>
  <w:style w:type="paragraph" w:customStyle="1" w:styleId="11110">
    <w:name w:val="1.1.1.1"/>
    <w:basedOn w:val="1112"/>
    <w:link w:val="11111"/>
    <w:qFormat/>
    <w:rPr>
      <w:sz w:val="28"/>
    </w:rPr>
  </w:style>
  <w:style w:type="character" w:customStyle="1" w:styleId="11111">
    <w:name w:val="1.1.1.1 Знак"/>
    <w:basedOn w:val="1113"/>
    <w:link w:val="11110"/>
    <w:rPr>
      <w:rFonts w:ascii="Times New Roman" w:eastAsiaTheme="majorEastAsia" w:hAnsi="Times New Roman" w:cstheme="majorBidi"/>
      <w:b w:val="0"/>
      <w:bCs/>
      <w:i/>
      <w:color w:val="002060"/>
      <w:sz w:val="28"/>
      <w:szCs w:val="28"/>
    </w:rPr>
  </w:style>
  <w:style w:type="paragraph" w:customStyle="1" w:styleId="a1">
    <w:name w:val="...."/>
    <w:basedOn w:val="000"/>
    <w:link w:val="afff4"/>
    <w:qFormat/>
    <w:pPr>
      <w:numPr>
        <w:numId w:val="4"/>
      </w:numPr>
    </w:pPr>
  </w:style>
  <w:style w:type="character" w:customStyle="1" w:styleId="afff4">
    <w:name w:val=".... Знак"/>
    <w:basedOn w:val="0000"/>
    <w:link w:val="a1"/>
    <w:rPr>
      <w:rFonts w:ascii="Times New Roman" w:hAnsi="Times New Roman" w:cs="Times New Roman"/>
      <w:sz w:val="28"/>
      <w:szCs w:val="24"/>
    </w:rPr>
  </w:style>
  <w:style w:type="paragraph" w:customStyle="1" w:styleId="ConsPlusNormal">
    <w:name w:val="ConsPlusNormal"/>
    <w:link w:val="ConsPlusNormal0"/>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
    <w:name w:val="Список нумерованный"/>
    <w:basedOn w:val="a2"/>
    <w:uiPriority w:val="99"/>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00">
    <w:name w:val="Табличный_по ширине_10"/>
    <w:basedOn w:val="a2"/>
    <w:qFormat/>
    <w:pPr>
      <w:spacing w:after="0" w:line="240" w:lineRule="auto"/>
      <w:jc w:val="both"/>
    </w:pPr>
    <w:rPr>
      <w:rFonts w:ascii="Times New Roman" w:eastAsia="Times New Roman" w:hAnsi="Times New Roman" w:cs="Times New Roman"/>
      <w:sz w:val="20"/>
      <w:szCs w:val="24"/>
      <w:lang w:eastAsia="ru-RU"/>
    </w:rPr>
  </w:style>
  <w:style w:type="paragraph" w:customStyle="1" w:styleId="a0">
    <w:name w:val="Маркированный ГП"/>
    <w:basedOn w:val="ad"/>
    <w:link w:val="afff5"/>
    <w:pPr>
      <w:numPr>
        <w:numId w:val="6"/>
      </w:numPr>
      <w:spacing w:before="120" w:after="0" w:line="276" w:lineRule="auto"/>
      <w:ind w:left="1134" w:hanging="425"/>
      <w:jc w:val="both"/>
    </w:pPr>
    <w:rPr>
      <w:rFonts w:ascii="Tahoma" w:eastAsia="Times New Roman" w:hAnsi="Tahoma" w:cs="Times New Roman"/>
      <w:sz w:val="24"/>
      <w:szCs w:val="24"/>
      <w:lang w:val="x-none" w:eastAsia="ru-RU"/>
    </w:rPr>
  </w:style>
  <w:style w:type="character" w:customStyle="1" w:styleId="afff5">
    <w:name w:val="Маркированный ГП Знак"/>
    <w:link w:val="a0"/>
    <w:rPr>
      <w:rFonts w:ascii="Tahoma" w:eastAsia="Times New Roman" w:hAnsi="Tahoma" w:cs="Times New Roman"/>
      <w:sz w:val="24"/>
      <w:szCs w:val="24"/>
      <w:lang w:val="x-none" w:eastAsia="ru-RU"/>
    </w:rPr>
  </w:style>
  <w:style w:type="paragraph" w:customStyle="1" w:styleId="afff6">
    <w:name w:val="Таблица ГП"/>
    <w:basedOn w:val="a2"/>
    <w:link w:val="afff7"/>
    <w:qFormat/>
    <w:pPr>
      <w:spacing w:after="0" w:line="240" w:lineRule="auto"/>
      <w:jc w:val="both"/>
    </w:pPr>
    <w:rPr>
      <w:rFonts w:ascii="Tahoma" w:eastAsia="Times New Roman" w:hAnsi="Tahoma" w:cs="Times New Roman"/>
      <w:sz w:val="20"/>
      <w:szCs w:val="20"/>
      <w:lang w:val="x-none" w:eastAsia="ru-RU"/>
    </w:rPr>
  </w:style>
  <w:style w:type="character" w:customStyle="1" w:styleId="afff7">
    <w:name w:val="Таблица ГП Знак"/>
    <w:link w:val="afff6"/>
    <w:rPr>
      <w:rFonts w:ascii="Tahoma" w:eastAsia="Times New Roman" w:hAnsi="Tahoma" w:cs="Times New Roman"/>
      <w:sz w:val="20"/>
      <w:szCs w:val="20"/>
      <w:lang w:val="x-none" w:eastAsia="ru-RU"/>
    </w:rPr>
  </w:style>
  <w:style w:type="paragraph" w:customStyle="1" w:styleId="afff8">
    <w:name w:val="Таблица_название_ГП"/>
    <w:basedOn w:val="afff6"/>
    <w:qFormat/>
    <w:pPr>
      <w:spacing w:before="120"/>
      <w:jc w:val="center"/>
    </w:pPr>
    <w:rPr>
      <w:b/>
    </w:rPr>
  </w:style>
  <w:style w:type="paragraph" w:styleId="afff9">
    <w:name w:val="Title"/>
    <w:basedOn w:val="a2"/>
    <w:link w:val="afffa"/>
    <w:qFormat/>
    <w:pPr>
      <w:spacing w:after="0" w:line="240" w:lineRule="auto"/>
      <w:jc w:val="center"/>
    </w:pPr>
    <w:rPr>
      <w:rFonts w:ascii="Times New Roman" w:eastAsia="Times New Roman" w:hAnsi="Times New Roman" w:cs="Times New Roman"/>
      <w:b/>
      <w:bCs/>
      <w:sz w:val="24"/>
      <w:szCs w:val="24"/>
      <w:lang w:eastAsia="ru-RU"/>
    </w:rPr>
  </w:style>
  <w:style w:type="character" w:customStyle="1" w:styleId="afffa">
    <w:name w:val="Заголовок Знак"/>
    <w:basedOn w:val="a3"/>
    <w:link w:val="afff9"/>
    <w:rPr>
      <w:rFonts w:ascii="Times New Roman" w:eastAsia="Times New Roman" w:hAnsi="Times New Roman" w:cs="Times New Roman"/>
      <w:b/>
      <w:bCs/>
      <w:sz w:val="24"/>
      <w:szCs w:val="24"/>
      <w:lang w:eastAsia="ru-RU"/>
    </w:rPr>
  </w:style>
  <w:style w:type="character" w:customStyle="1" w:styleId="ConsPlusNormal0">
    <w:name w:val="ConsPlusNormal Знак"/>
    <w:link w:val="ConsPlusNormal"/>
    <w:rPr>
      <w:rFonts w:ascii="Arial" w:eastAsia="Times New Roman" w:hAnsi="Arial" w:cs="Arial"/>
      <w:sz w:val="20"/>
      <w:szCs w:val="20"/>
      <w:lang w:eastAsia="ru-RU"/>
    </w:rPr>
  </w:style>
  <w:style w:type="character" w:customStyle="1" w:styleId="60">
    <w:name w:val="Заголовок 6 Знак"/>
    <w:basedOn w:val="a3"/>
    <w:link w:val="6"/>
    <w:rPr>
      <w:rFonts w:ascii="Times New Roman" w:eastAsia="Times New Roman" w:hAnsi="Times New Roman" w:cs="Times New Roman"/>
      <w:b/>
      <w:bCs/>
      <w:lang w:eastAsia="ru-RU"/>
    </w:rPr>
  </w:style>
  <w:style w:type="character" w:customStyle="1" w:styleId="90">
    <w:name w:val="Заголовок 9 Знак"/>
    <w:basedOn w:val="a3"/>
    <w:link w:val="9"/>
    <w:uiPriority w:val="9"/>
    <w:rPr>
      <w:rFonts w:ascii="Cambria" w:eastAsia="Times New Roman" w:hAnsi="Cambria" w:cs="Times New Roman"/>
      <w:lang w:eastAsia="ru-RU"/>
    </w:rPr>
  </w:style>
  <w:style w:type="paragraph" w:customStyle="1" w:styleId="25">
    <w:name w:val="З2"/>
    <w:basedOn w:val="a2"/>
    <w:next w:val="a2"/>
    <w:pPr>
      <w:spacing w:after="0" w:line="360" w:lineRule="auto"/>
      <w:ind w:firstLine="748"/>
      <w:jc w:val="both"/>
    </w:pPr>
    <w:rPr>
      <w:rFonts w:ascii="Times New Roman" w:eastAsia="Times New Roman" w:hAnsi="Times New Roman" w:cs="Times New Roman"/>
      <w:b/>
      <w:snapToGrid w:val="0"/>
      <w:sz w:val="24"/>
      <w:szCs w:val="20"/>
      <w:lang w:eastAsia="ru-RU"/>
    </w:rPr>
  </w:style>
  <w:style w:type="paragraph" w:customStyle="1" w:styleId="ConsNormal">
    <w:name w:val="ConsNormal"/>
    <w:link w:val="ConsNormal0"/>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customStyle="1" w:styleId="1f1">
    <w:name w:val="Обычный1"/>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character" w:customStyle="1" w:styleId="afffb">
    <w:name w:val="Схема документа Знак"/>
    <w:basedOn w:val="a3"/>
    <w:link w:val="afffc"/>
    <w:semiHidden/>
    <w:rPr>
      <w:rFonts w:ascii="Tahoma" w:eastAsia="Times New Roman" w:hAnsi="Tahoma" w:cs="Tahoma"/>
      <w:sz w:val="20"/>
      <w:szCs w:val="20"/>
      <w:shd w:val="clear" w:color="auto" w:fill="000080"/>
      <w:lang w:eastAsia="ru-RU"/>
    </w:rPr>
  </w:style>
  <w:style w:type="paragraph" w:styleId="afffc">
    <w:name w:val="Document Map"/>
    <w:basedOn w:val="a2"/>
    <w:link w:val="afffb"/>
    <w:semiHidden/>
    <w:pPr>
      <w:shd w:val="clear" w:color="auto" w:fill="000080"/>
      <w:spacing w:after="0" w:line="240" w:lineRule="auto"/>
    </w:pPr>
    <w:rPr>
      <w:rFonts w:ascii="Tahoma" w:eastAsia="Times New Roman" w:hAnsi="Tahoma" w:cs="Tahoma"/>
      <w:sz w:val="20"/>
      <w:szCs w:val="20"/>
      <w:lang w:eastAsia="ru-RU"/>
    </w:rPr>
  </w:style>
  <w:style w:type="character" w:customStyle="1" w:styleId="1f2">
    <w:name w:val="Схема документа Знак1"/>
    <w:basedOn w:val="a3"/>
    <w:uiPriority w:val="99"/>
    <w:semiHidden/>
    <w:rPr>
      <w:rFonts w:ascii="Segoe UI" w:hAnsi="Segoe UI" w:cs="Segoe UI"/>
      <w:sz w:val="16"/>
      <w:szCs w:val="16"/>
    </w:rPr>
  </w:style>
  <w:style w:type="paragraph" w:customStyle="1" w:styleId="ConsNonformat">
    <w:name w:val="ConsNonformat"/>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32">
    <w:name w:val="Body Text 3"/>
    <w:basedOn w:val="a2"/>
    <w:link w:val="33"/>
    <w:uiPriority w:val="99"/>
    <w:pPr>
      <w:spacing w:after="120" w:line="240" w:lineRule="auto"/>
    </w:pPr>
    <w:rPr>
      <w:rFonts w:ascii="Times New Roman" w:eastAsia="Times New Roman" w:hAnsi="Times New Roman" w:cs="Times New Roman"/>
      <w:sz w:val="16"/>
      <w:szCs w:val="16"/>
      <w:lang w:eastAsia="ru-RU"/>
    </w:rPr>
  </w:style>
  <w:style w:type="character" w:customStyle="1" w:styleId="33">
    <w:name w:val="Основной текст 3 Знак"/>
    <w:basedOn w:val="a3"/>
    <w:link w:val="32"/>
    <w:uiPriority w:val="99"/>
    <w:rPr>
      <w:rFonts w:ascii="Times New Roman" w:eastAsia="Times New Roman" w:hAnsi="Times New Roman" w:cs="Times New Roman"/>
      <w:sz w:val="16"/>
      <w:szCs w:val="16"/>
      <w:lang w:eastAsia="ru-RU"/>
    </w:rPr>
  </w:style>
  <w:style w:type="paragraph" w:customStyle="1" w:styleId="ConsPlusDocList">
    <w:name w:val="ConsPlusDocList"/>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d">
    <w:name w:val="Plain Text"/>
    <w:basedOn w:val="a2"/>
    <w:link w:val="afffe"/>
    <w:pPr>
      <w:spacing w:after="0" w:line="240" w:lineRule="auto"/>
    </w:pPr>
    <w:rPr>
      <w:rFonts w:ascii="Courier New" w:eastAsia="Times New Roman" w:hAnsi="Courier New" w:cs="Times New Roman"/>
      <w:sz w:val="20"/>
      <w:szCs w:val="20"/>
      <w:lang w:eastAsia="ru-RU"/>
    </w:rPr>
  </w:style>
  <w:style w:type="character" w:customStyle="1" w:styleId="afffe">
    <w:name w:val="Текст Знак"/>
    <w:basedOn w:val="a3"/>
    <w:link w:val="afffd"/>
    <w:rPr>
      <w:rFonts w:ascii="Courier New" w:eastAsia="Times New Roman" w:hAnsi="Courier New" w:cs="Times New Roman"/>
      <w:sz w:val="20"/>
      <w:szCs w:val="20"/>
      <w:lang w:eastAsia="ru-RU"/>
    </w:rPr>
  </w:style>
  <w:style w:type="paragraph" w:customStyle="1" w:styleId="zagc-0">
    <w:name w:val="zagc-0"/>
    <w:basedOn w:val="a2"/>
    <w:pPr>
      <w:spacing w:before="180" w:after="60" w:line="240" w:lineRule="auto"/>
      <w:ind w:firstLine="150"/>
      <w:jc w:val="center"/>
    </w:pPr>
    <w:rPr>
      <w:rFonts w:ascii="Arial" w:eastAsia="Times New Roman" w:hAnsi="Arial" w:cs="Arial"/>
      <w:b/>
      <w:bCs/>
      <w:caps/>
      <w:color w:val="29211E"/>
      <w:sz w:val="24"/>
      <w:szCs w:val="24"/>
      <w:lang w:eastAsia="ru-RU"/>
    </w:rPr>
  </w:style>
  <w:style w:type="paragraph" w:customStyle="1" w:styleId="zagc-1">
    <w:name w:val="zagc-1"/>
    <w:basedOn w:val="a2"/>
    <w:pPr>
      <w:spacing w:before="135" w:after="60" w:line="240" w:lineRule="auto"/>
      <w:ind w:firstLine="150"/>
      <w:jc w:val="center"/>
    </w:pPr>
    <w:rPr>
      <w:rFonts w:ascii="Arial" w:eastAsia="Times New Roman" w:hAnsi="Arial" w:cs="Arial"/>
      <w:b/>
      <w:bCs/>
      <w:caps/>
      <w:color w:val="29211E"/>
      <w:sz w:val="20"/>
      <w:szCs w:val="20"/>
      <w:lang w:eastAsia="ru-RU"/>
    </w:rPr>
  </w:style>
  <w:style w:type="paragraph" w:customStyle="1" w:styleId="titlepage">
    <w:name w:val="titlepage"/>
    <w:basedOn w:val="a2"/>
    <w:pPr>
      <w:spacing w:before="45" w:after="45" w:line="240" w:lineRule="auto"/>
      <w:ind w:firstLine="150"/>
      <w:jc w:val="center"/>
    </w:pPr>
    <w:rPr>
      <w:rFonts w:ascii="Arial" w:eastAsia="Times New Roman" w:hAnsi="Arial" w:cs="Arial"/>
      <w:b/>
      <w:bCs/>
      <w:caps/>
      <w:color w:val="B00000"/>
      <w:sz w:val="24"/>
      <w:szCs w:val="24"/>
      <w:lang w:eastAsia="ru-RU"/>
    </w:rPr>
  </w:style>
  <w:style w:type="paragraph" w:customStyle="1" w:styleId="menumain">
    <w:name w:val="menumain"/>
    <w:basedOn w:val="a2"/>
    <w:pPr>
      <w:spacing w:after="0" w:line="240" w:lineRule="auto"/>
      <w:ind w:firstLine="150"/>
      <w:jc w:val="both"/>
    </w:pPr>
    <w:rPr>
      <w:rFonts w:ascii="Arial" w:eastAsia="Times New Roman" w:hAnsi="Arial" w:cs="Arial"/>
      <w:b/>
      <w:bCs/>
      <w:color w:val="ECD69A"/>
      <w:sz w:val="18"/>
      <w:szCs w:val="18"/>
      <w:lang w:eastAsia="ru-RU"/>
    </w:rPr>
  </w:style>
  <w:style w:type="paragraph" w:customStyle="1" w:styleId="menul">
    <w:name w:val="menul"/>
    <w:basedOn w:val="a2"/>
    <w:pPr>
      <w:spacing w:before="15" w:after="15" w:line="180" w:lineRule="atLeast"/>
      <w:ind w:left="30" w:right="30" w:firstLine="150"/>
      <w:jc w:val="both"/>
    </w:pPr>
    <w:rPr>
      <w:rFonts w:ascii="MS Sans Serif" w:eastAsia="Times New Roman" w:hAnsi="MS Sans Serif" w:cs="Arial"/>
      <w:b/>
      <w:bCs/>
      <w:color w:val="ECD69A"/>
      <w:sz w:val="16"/>
      <w:szCs w:val="16"/>
      <w:lang w:eastAsia="ru-RU"/>
    </w:rPr>
  </w:style>
  <w:style w:type="paragraph" w:customStyle="1" w:styleId="menutop">
    <w:name w:val="menutop"/>
    <w:basedOn w:val="a2"/>
    <w:pPr>
      <w:spacing w:after="0" w:line="240" w:lineRule="auto"/>
      <w:ind w:firstLine="150"/>
      <w:jc w:val="both"/>
    </w:pPr>
    <w:rPr>
      <w:rFonts w:ascii="Arial" w:eastAsia="Times New Roman" w:hAnsi="Arial" w:cs="Arial"/>
      <w:b/>
      <w:bCs/>
      <w:color w:val="000000"/>
      <w:sz w:val="18"/>
      <w:szCs w:val="18"/>
      <w:lang w:eastAsia="ru-RU"/>
    </w:rPr>
  </w:style>
  <w:style w:type="paragraph" w:customStyle="1" w:styleId="menutopp">
    <w:name w:val="menutopp"/>
    <w:basedOn w:val="a2"/>
    <w:pPr>
      <w:spacing w:after="0" w:line="240" w:lineRule="auto"/>
      <w:ind w:firstLine="150"/>
      <w:jc w:val="center"/>
    </w:pPr>
    <w:rPr>
      <w:rFonts w:ascii="MS Sans Serif" w:eastAsia="Times New Roman" w:hAnsi="MS Sans Serif" w:cs="Arial"/>
      <w:b/>
      <w:bCs/>
      <w:color w:val="B00000"/>
      <w:sz w:val="16"/>
      <w:szCs w:val="16"/>
      <w:lang w:eastAsia="ru-RU"/>
    </w:rPr>
  </w:style>
  <w:style w:type="paragraph" w:customStyle="1" w:styleId="menutopp1">
    <w:name w:val="menutopp1"/>
    <w:basedOn w:val="a2"/>
    <w:pPr>
      <w:spacing w:after="0" w:line="240" w:lineRule="auto"/>
      <w:ind w:firstLine="150"/>
      <w:jc w:val="center"/>
    </w:pPr>
    <w:rPr>
      <w:rFonts w:ascii="Arial" w:eastAsia="Times New Roman" w:hAnsi="Arial" w:cs="Arial"/>
      <w:b/>
      <w:bCs/>
      <w:color w:val="B00000"/>
      <w:sz w:val="18"/>
      <w:szCs w:val="18"/>
      <w:lang w:eastAsia="ru-RU"/>
    </w:rPr>
  </w:style>
  <w:style w:type="paragraph" w:customStyle="1" w:styleId="linknewstitle">
    <w:name w:val="linknewstitle"/>
    <w:basedOn w:val="a2"/>
    <w:pPr>
      <w:spacing w:before="15" w:after="15" w:line="240" w:lineRule="auto"/>
      <w:ind w:firstLine="150"/>
      <w:jc w:val="both"/>
    </w:pPr>
    <w:rPr>
      <w:rFonts w:ascii="Arial" w:eastAsia="Times New Roman" w:hAnsi="Arial" w:cs="Arial"/>
      <w:b/>
      <w:bCs/>
      <w:color w:val="000000"/>
      <w:sz w:val="18"/>
      <w:szCs w:val="18"/>
      <w:u w:val="single"/>
      <w:lang w:eastAsia="ru-RU"/>
    </w:rPr>
  </w:style>
  <w:style w:type="paragraph" w:customStyle="1" w:styleId="linknewscoms">
    <w:name w:val="linknewscoms"/>
    <w:basedOn w:val="a2"/>
    <w:pPr>
      <w:spacing w:before="15" w:after="15" w:line="240" w:lineRule="auto"/>
      <w:ind w:firstLine="150"/>
      <w:jc w:val="both"/>
    </w:pPr>
    <w:rPr>
      <w:rFonts w:ascii="Arial" w:eastAsia="Times New Roman" w:hAnsi="Arial" w:cs="Arial"/>
      <w:color w:val="000000"/>
      <w:sz w:val="18"/>
      <w:szCs w:val="18"/>
      <w:lang w:eastAsia="ru-RU"/>
    </w:rPr>
  </w:style>
  <w:style w:type="paragraph" w:customStyle="1" w:styleId="table">
    <w:name w:val="table"/>
    <w:basedOn w:val="a2"/>
    <w:pPr>
      <w:spacing w:before="90" w:after="90" w:line="240" w:lineRule="auto"/>
      <w:ind w:firstLine="150"/>
      <w:jc w:val="both"/>
    </w:pPr>
    <w:rPr>
      <w:rFonts w:ascii="Arial" w:eastAsia="Times New Roman" w:hAnsi="Arial" w:cs="Arial"/>
      <w:sz w:val="18"/>
      <w:szCs w:val="18"/>
      <w:lang w:eastAsia="ru-RU"/>
    </w:rPr>
  </w:style>
  <w:style w:type="paragraph" w:customStyle="1" w:styleId="edit">
    <w:name w:val="edit"/>
    <w:basedOn w:val="a2"/>
    <w:pPr>
      <w:spacing w:before="15" w:after="15" w:line="240" w:lineRule="auto"/>
      <w:ind w:firstLine="150"/>
      <w:jc w:val="both"/>
    </w:pPr>
    <w:rPr>
      <w:rFonts w:ascii="Arial" w:eastAsia="Times New Roman" w:hAnsi="Arial" w:cs="Arial"/>
      <w:sz w:val="18"/>
      <w:szCs w:val="18"/>
      <w:lang w:eastAsia="ru-RU"/>
    </w:rPr>
  </w:style>
  <w:style w:type="paragraph" w:customStyle="1" w:styleId="zagc-2">
    <w:name w:val="zagc-2"/>
    <w:basedOn w:val="a2"/>
    <w:pPr>
      <w:spacing w:before="90" w:after="60" w:line="240" w:lineRule="auto"/>
      <w:ind w:firstLine="150"/>
      <w:jc w:val="center"/>
    </w:pPr>
    <w:rPr>
      <w:rFonts w:ascii="Arial" w:eastAsia="Times New Roman" w:hAnsi="Arial" w:cs="Arial"/>
      <w:b/>
      <w:bCs/>
      <w:color w:val="29211E"/>
      <w:sz w:val="18"/>
      <w:szCs w:val="18"/>
      <w:lang w:eastAsia="ru-RU"/>
    </w:rPr>
  </w:style>
  <w:style w:type="paragraph" w:customStyle="1" w:styleId="zagl-0">
    <w:name w:val="zagl-0"/>
    <w:basedOn w:val="a2"/>
    <w:pPr>
      <w:spacing w:before="180" w:after="60" w:line="240" w:lineRule="auto"/>
      <w:ind w:firstLine="150"/>
    </w:pPr>
    <w:rPr>
      <w:rFonts w:ascii="Arial" w:eastAsia="Times New Roman" w:hAnsi="Arial" w:cs="Arial"/>
      <w:b/>
      <w:bCs/>
      <w:caps/>
      <w:color w:val="29211E"/>
      <w:sz w:val="24"/>
      <w:szCs w:val="24"/>
      <w:lang w:eastAsia="ru-RU"/>
    </w:rPr>
  </w:style>
  <w:style w:type="paragraph" w:customStyle="1" w:styleId="zagl-1">
    <w:name w:val="zagl-1"/>
    <w:basedOn w:val="a2"/>
    <w:pPr>
      <w:spacing w:before="135" w:after="60" w:line="240" w:lineRule="auto"/>
      <w:ind w:firstLine="150"/>
    </w:pPr>
    <w:rPr>
      <w:rFonts w:ascii="Arial" w:eastAsia="Times New Roman" w:hAnsi="Arial" w:cs="Arial"/>
      <w:b/>
      <w:bCs/>
      <w:caps/>
      <w:color w:val="29211E"/>
      <w:sz w:val="20"/>
      <w:szCs w:val="20"/>
      <w:lang w:eastAsia="ru-RU"/>
    </w:rPr>
  </w:style>
  <w:style w:type="paragraph" w:customStyle="1" w:styleId="zagl-2">
    <w:name w:val="zagl-2"/>
    <w:basedOn w:val="a2"/>
    <w:pPr>
      <w:spacing w:before="90" w:after="60" w:line="240" w:lineRule="auto"/>
      <w:ind w:firstLine="150"/>
    </w:pPr>
    <w:rPr>
      <w:rFonts w:ascii="Arial" w:eastAsia="Times New Roman" w:hAnsi="Arial" w:cs="Arial"/>
      <w:b/>
      <w:bCs/>
      <w:color w:val="29211E"/>
      <w:sz w:val="18"/>
      <w:szCs w:val="18"/>
      <w:lang w:eastAsia="ru-RU"/>
    </w:rPr>
  </w:style>
  <w:style w:type="paragraph" w:customStyle="1" w:styleId="spis">
    <w:name w:val="spis"/>
    <w:basedOn w:val="a2"/>
    <w:pPr>
      <w:spacing w:before="15" w:after="15" w:line="240" w:lineRule="auto"/>
      <w:ind w:firstLine="150"/>
      <w:jc w:val="both"/>
    </w:pPr>
    <w:rPr>
      <w:rFonts w:ascii="Arial" w:eastAsia="Times New Roman" w:hAnsi="Arial" w:cs="Arial"/>
      <w:sz w:val="18"/>
      <w:szCs w:val="18"/>
      <w:lang w:eastAsia="ru-RU"/>
    </w:rPr>
  </w:style>
  <w:style w:type="paragraph" w:customStyle="1" w:styleId="podpis">
    <w:name w:val="podpis"/>
    <w:basedOn w:val="a2"/>
    <w:pPr>
      <w:spacing w:before="75" w:after="75" w:line="240" w:lineRule="auto"/>
      <w:ind w:firstLine="150"/>
      <w:jc w:val="right"/>
    </w:pPr>
    <w:rPr>
      <w:rFonts w:ascii="Arial" w:eastAsia="Times New Roman" w:hAnsi="Arial" w:cs="Arial"/>
      <w:b/>
      <w:bCs/>
      <w:sz w:val="18"/>
      <w:szCs w:val="18"/>
      <w:lang w:eastAsia="ru-RU"/>
    </w:rPr>
  </w:style>
  <w:style w:type="paragraph" w:customStyle="1" w:styleId="dropmenu">
    <w:name w:val="drop_menu"/>
    <w:basedOn w:val="a2"/>
    <w:pPr>
      <w:shd w:val="clear" w:color="auto" w:fill="ECD69A"/>
      <w:spacing w:before="15" w:after="15" w:line="240" w:lineRule="auto"/>
      <w:ind w:firstLine="150"/>
    </w:pPr>
    <w:rPr>
      <w:rFonts w:ascii="Arial" w:eastAsia="Times New Roman" w:hAnsi="Arial" w:cs="Arial"/>
      <w:b/>
      <w:bCs/>
      <w:color w:val="000000"/>
      <w:sz w:val="18"/>
      <w:szCs w:val="18"/>
      <w:lang w:eastAsia="ru-RU"/>
    </w:rPr>
  </w:style>
  <w:style w:type="paragraph" w:customStyle="1" w:styleId="imgheader">
    <w:name w:val="img_header"/>
    <w:basedOn w:val="a2"/>
    <w:pPr>
      <w:shd w:val="clear" w:color="auto" w:fill="8D494B"/>
      <w:spacing w:before="15" w:after="15" w:line="240" w:lineRule="auto"/>
      <w:ind w:firstLine="150"/>
    </w:pPr>
    <w:rPr>
      <w:rFonts w:ascii="Arial" w:eastAsia="Times New Roman" w:hAnsi="Arial" w:cs="Arial"/>
      <w:color w:val="FFFFFF"/>
      <w:sz w:val="18"/>
      <w:szCs w:val="18"/>
      <w:lang w:eastAsia="ru-RU"/>
    </w:rPr>
  </w:style>
  <w:style w:type="paragraph" w:customStyle="1" w:styleId="tablephoto">
    <w:name w:val="tablephoto"/>
    <w:basedOn w:val="a2"/>
    <w:pPr>
      <w:pBdr>
        <w:top w:val="single" w:sz="6" w:space="0" w:color="522C2B"/>
        <w:left w:val="single" w:sz="6" w:space="0" w:color="522C2B"/>
        <w:bottom w:val="single" w:sz="6" w:space="0" w:color="522C2B"/>
        <w:right w:val="single" w:sz="6" w:space="0" w:color="522C2B"/>
      </w:pBdr>
      <w:shd w:val="clear" w:color="auto" w:fill="ECD69A"/>
      <w:spacing w:before="15" w:after="15" w:line="240" w:lineRule="auto"/>
      <w:ind w:firstLine="150"/>
      <w:jc w:val="both"/>
    </w:pPr>
    <w:rPr>
      <w:rFonts w:ascii="Arial" w:eastAsia="Times New Roman" w:hAnsi="Arial" w:cs="Arial"/>
      <w:sz w:val="16"/>
      <w:szCs w:val="16"/>
      <w:lang w:eastAsia="ru-RU"/>
    </w:rPr>
  </w:style>
  <w:style w:type="paragraph" w:customStyle="1" w:styleId="Iauiue">
    <w:name w:val="Iau?iue"/>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pPr>
      <w:keepLines/>
      <w:ind w:left="709" w:hanging="284"/>
      <w:jc w:val="both"/>
    </w:pPr>
    <w:rPr>
      <w:rFonts w:ascii="Peterburg" w:hAnsi="Peterburg"/>
      <w:sz w:val="24"/>
    </w:rPr>
  </w:style>
  <w:style w:type="paragraph" w:customStyle="1" w:styleId="ConsPlusTitle">
    <w:name w:val="ConsPlusTitle"/>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Cell">
    <w:name w:val="ConsPlusCell"/>
    <w:uiPriority w:val="9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6">
    <w:name w:val="Body Text 2"/>
    <w:basedOn w:val="a2"/>
    <w:link w:val="27"/>
    <w:uiPriority w:val="99"/>
    <w:pPr>
      <w:spacing w:after="120" w:line="480" w:lineRule="auto"/>
    </w:pPr>
    <w:rPr>
      <w:rFonts w:ascii="Times New Roman" w:eastAsia="Times New Roman" w:hAnsi="Times New Roman" w:cs="Times New Roman"/>
      <w:sz w:val="24"/>
      <w:szCs w:val="24"/>
      <w:lang w:eastAsia="ru-RU"/>
    </w:rPr>
  </w:style>
  <w:style w:type="character" w:customStyle="1" w:styleId="27">
    <w:name w:val="Основной текст 2 Знак"/>
    <w:basedOn w:val="a3"/>
    <w:link w:val="26"/>
    <w:uiPriority w:val="99"/>
    <w:rPr>
      <w:rFonts w:ascii="Times New Roman" w:eastAsia="Times New Roman" w:hAnsi="Times New Roman" w:cs="Times New Roman"/>
      <w:sz w:val="24"/>
      <w:szCs w:val="24"/>
      <w:lang w:eastAsia="ru-RU"/>
    </w:rPr>
  </w:style>
  <w:style w:type="paragraph" w:customStyle="1" w:styleId="28">
    <w:name w:val="Îñíîâíîé òåêñò 2"/>
    <w:basedOn w:val="a2"/>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paragraph" w:styleId="affff">
    <w:name w:val="endnote text"/>
    <w:basedOn w:val="a2"/>
    <w:link w:val="affff0"/>
    <w:pPr>
      <w:spacing w:after="0" w:line="240" w:lineRule="auto"/>
    </w:pPr>
    <w:rPr>
      <w:rFonts w:ascii="Times New Roman" w:eastAsia="Times New Roman" w:hAnsi="Times New Roman" w:cs="Times New Roman"/>
      <w:sz w:val="20"/>
      <w:szCs w:val="20"/>
      <w:lang w:eastAsia="ru-RU"/>
    </w:rPr>
  </w:style>
  <w:style w:type="character" w:customStyle="1" w:styleId="affff0">
    <w:name w:val="Текст концевой сноски Знак"/>
    <w:basedOn w:val="a3"/>
    <w:link w:val="affff"/>
    <w:rPr>
      <w:rFonts w:ascii="Times New Roman" w:eastAsia="Times New Roman" w:hAnsi="Times New Roman" w:cs="Times New Roman"/>
      <w:sz w:val="20"/>
      <w:szCs w:val="20"/>
      <w:lang w:eastAsia="ru-RU"/>
    </w:rPr>
  </w:style>
  <w:style w:type="character" w:styleId="affff1">
    <w:name w:val="endnote reference"/>
    <w:rPr>
      <w:vertAlign w:val="superscript"/>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Times New Roman"/>
      <w:sz w:val="20"/>
      <w:szCs w:val="20"/>
      <w:lang w:eastAsia="ru-RU"/>
    </w:rPr>
  </w:style>
  <w:style w:type="character" w:customStyle="1" w:styleId="HTML0">
    <w:name w:val="Стандартный HTML Знак"/>
    <w:basedOn w:val="a3"/>
    <w:link w:val="HTML"/>
    <w:rPr>
      <w:rFonts w:ascii="Courier New" w:eastAsia="Courier New" w:hAnsi="Courier New" w:cs="Times New Roman"/>
      <w:sz w:val="20"/>
      <w:szCs w:val="20"/>
      <w:lang w:eastAsia="ru-RU"/>
    </w:rPr>
  </w:style>
  <w:style w:type="paragraph" w:customStyle="1" w:styleId="report0">
    <w:name w:val="report0"/>
    <w:basedOn w:val="a2"/>
    <w:pPr>
      <w:spacing w:before="100" w:beforeAutospacing="1" w:after="100" w:afterAutospacing="1" w:line="240" w:lineRule="auto"/>
    </w:pPr>
    <w:rPr>
      <w:rFonts w:ascii="Arial" w:eastAsia="Times New Roman" w:hAnsi="Arial" w:cs="Times New Roman"/>
      <w:b/>
      <w:bCs/>
      <w:sz w:val="28"/>
      <w:szCs w:val="24"/>
      <w:lang w:eastAsia="ru-RU"/>
    </w:rPr>
  </w:style>
  <w:style w:type="paragraph" w:customStyle="1" w:styleId="210">
    <w:name w:val="Основной текст 21"/>
    <w:basedOn w:val="a2"/>
    <w:pPr>
      <w:spacing w:after="0" w:line="240" w:lineRule="auto"/>
      <w:ind w:firstLine="720"/>
      <w:jc w:val="both"/>
    </w:pPr>
    <w:rPr>
      <w:rFonts w:ascii="Arial" w:eastAsia="Times New Roman" w:hAnsi="Arial" w:cs="Times New Roman"/>
      <w:sz w:val="28"/>
      <w:szCs w:val="20"/>
      <w:lang w:eastAsia="ru-RU"/>
    </w:rPr>
  </w:style>
  <w:style w:type="paragraph" w:styleId="affff2">
    <w:name w:val="No Spacing"/>
    <w:uiPriority w:val="1"/>
    <w:qFormat/>
    <w:pPr>
      <w:spacing w:after="0" w:line="240" w:lineRule="auto"/>
    </w:pPr>
    <w:rPr>
      <w:rFonts w:ascii="Times New Roman" w:eastAsia="Times New Roman" w:hAnsi="Times New Roman" w:cs="Times New Roman"/>
      <w:sz w:val="24"/>
      <w:szCs w:val="24"/>
      <w:lang w:eastAsia="ru-RU"/>
    </w:rPr>
  </w:style>
  <w:style w:type="paragraph" w:styleId="34">
    <w:name w:val="Body Text Indent 3"/>
    <w:basedOn w:val="a2"/>
    <w:link w:val="35"/>
    <w:uiPriority w:val="99"/>
    <w:unhideWhenUsed/>
    <w:pPr>
      <w:spacing w:after="120" w:line="240" w:lineRule="auto"/>
      <w:ind w:left="283"/>
    </w:pPr>
    <w:rPr>
      <w:rFonts w:ascii="Arial" w:eastAsia="Times New Roman" w:hAnsi="Arial" w:cs="Times New Roman"/>
      <w:sz w:val="16"/>
      <w:szCs w:val="16"/>
      <w:lang w:eastAsia="ru-RU"/>
    </w:rPr>
  </w:style>
  <w:style w:type="character" w:customStyle="1" w:styleId="35">
    <w:name w:val="Основной текст с отступом 3 Знак"/>
    <w:basedOn w:val="a3"/>
    <w:link w:val="34"/>
    <w:uiPriority w:val="99"/>
    <w:rPr>
      <w:rFonts w:ascii="Arial" w:eastAsia="Times New Roman" w:hAnsi="Arial" w:cs="Times New Roman"/>
      <w:sz w:val="16"/>
      <w:szCs w:val="16"/>
      <w:lang w:eastAsia="ru-RU"/>
    </w:rPr>
  </w:style>
  <w:style w:type="paragraph" w:customStyle="1" w:styleId="Web">
    <w:name w:val="Обычный (Web)"/>
    <w:basedOn w:val="a2"/>
    <w:next w:val="a2"/>
    <w:uiPriority w:val="99"/>
    <w:pPr>
      <w:autoSpaceDE w:val="0"/>
      <w:autoSpaceDN w:val="0"/>
      <w:adjustRightInd w:val="0"/>
      <w:spacing w:after="0" w:line="240" w:lineRule="auto"/>
    </w:pPr>
    <w:rPr>
      <w:rFonts w:ascii="Arial" w:eastAsia="Times New Roman" w:hAnsi="Arial" w:cs="Arial"/>
      <w:sz w:val="24"/>
      <w:szCs w:val="24"/>
      <w:lang w:eastAsia="ru-RU"/>
    </w:rPr>
  </w:style>
  <w:style w:type="character" w:customStyle="1" w:styleId="qqq1">
    <w:name w:val="qqq1"/>
    <w:rPr>
      <w:rFonts w:ascii="Times New Roman" w:hAnsi="Times New Roman" w:cs="Times New Roman" w:hint="default"/>
      <w:color w:val="000066"/>
      <w:sz w:val="25"/>
      <w:szCs w:val="25"/>
    </w:rPr>
  </w:style>
  <w:style w:type="paragraph" w:customStyle="1" w:styleId="a-style">
    <w:name w:val="a-style"/>
    <w:basedOn w:val="a2"/>
    <w:pPr>
      <w:spacing w:before="100" w:beforeAutospacing="1" w:after="100" w:afterAutospacing="1" w:line="240" w:lineRule="auto"/>
    </w:pPr>
    <w:rPr>
      <w:rFonts w:ascii="Verdana" w:eastAsia="Times New Roman" w:hAnsi="Verdana" w:cs="Times New Roman"/>
      <w:color w:val="000000"/>
      <w:sz w:val="16"/>
      <w:szCs w:val="16"/>
      <w:lang w:eastAsia="ru-RU"/>
    </w:rPr>
  </w:style>
  <w:style w:type="character" w:customStyle="1" w:styleId="affff3">
    <w:name w:val="Гипертекстовая ссылка"/>
    <w:uiPriority w:val="99"/>
    <w:rPr>
      <w:color w:val="106BBE"/>
    </w:rPr>
  </w:style>
  <w:style w:type="character" w:customStyle="1" w:styleId="affff4">
    <w:name w:val="Цветовое выделение"/>
    <w:uiPriority w:val="99"/>
    <w:rPr>
      <w:b/>
      <w:color w:val="26282F"/>
    </w:rPr>
  </w:style>
  <w:style w:type="paragraph" w:customStyle="1" w:styleId="affff5">
    <w:name w:val="Заголовок статьи"/>
    <w:basedOn w:val="a2"/>
    <w:next w:val="a2"/>
    <w:uiPriority w:val="99"/>
    <w:pPr>
      <w:widowControl w:val="0"/>
      <w:autoSpaceDE w:val="0"/>
      <w:autoSpaceDN w:val="0"/>
      <w:adjustRightInd w:val="0"/>
      <w:spacing w:after="0" w:line="240" w:lineRule="auto"/>
      <w:ind w:left="1612" w:hanging="892"/>
      <w:jc w:val="both"/>
    </w:pPr>
    <w:rPr>
      <w:rFonts w:ascii="Times New Roman CYR" w:eastAsia="Times New Roman" w:hAnsi="Times New Roman CYR" w:cs="Times New Roman CYR"/>
      <w:sz w:val="24"/>
      <w:szCs w:val="24"/>
      <w:lang w:eastAsia="ru-RU"/>
    </w:rPr>
  </w:style>
  <w:style w:type="paragraph" w:customStyle="1" w:styleId="affff6">
    <w:name w:val="ОСНОВНОЙ !!!"/>
    <w:basedOn w:val="aff"/>
    <w:link w:val="1f3"/>
    <w:pPr>
      <w:spacing w:before="120" w:after="0" w:line="240" w:lineRule="auto"/>
      <w:ind w:firstLine="900"/>
      <w:jc w:val="both"/>
    </w:pPr>
    <w:rPr>
      <w:rFonts w:ascii="Arial" w:eastAsia="Times New Roman" w:hAnsi="Arial" w:cs="Arial"/>
      <w:sz w:val="24"/>
      <w:szCs w:val="24"/>
      <w:lang w:eastAsia="ru-RU"/>
    </w:rPr>
  </w:style>
  <w:style w:type="character" w:customStyle="1" w:styleId="1f3">
    <w:name w:val="ОСНОВНОЙ !!! Знак1"/>
    <w:link w:val="affff6"/>
    <w:rPr>
      <w:rFonts w:ascii="Arial" w:eastAsia="Times New Roman" w:hAnsi="Arial" w:cs="Arial"/>
      <w:sz w:val="24"/>
      <w:szCs w:val="24"/>
      <w:lang w:eastAsia="ru-RU"/>
    </w:rPr>
  </w:style>
  <w:style w:type="paragraph" w:customStyle="1" w:styleId="xl28">
    <w:name w:val="xl28"/>
    <w:basedOn w:val="a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ru-RU"/>
    </w:rPr>
  </w:style>
  <w:style w:type="paragraph" w:customStyle="1" w:styleId="G3">
    <w:name w:val="G_Текст в таблице"/>
    <w:basedOn w:val="G1"/>
    <w:link w:val="G4"/>
    <w:qFormat/>
    <w:pPr>
      <w:spacing w:before="60"/>
      <w:ind w:firstLine="0"/>
      <w:jc w:val="center"/>
    </w:pPr>
    <w:rPr>
      <w:rFonts w:ascii="Calibri" w:hAnsi="Calibri"/>
    </w:rPr>
  </w:style>
  <w:style w:type="character" w:customStyle="1" w:styleId="G4">
    <w:name w:val="G_Текст в таблице Знак"/>
    <w:basedOn w:val="G2"/>
    <w:link w:val="G3"/>
    <w:rPr>
      <w:rFonts w:ascii="Calibri" w:eastAsia="Times New Roman" w:hAnsi="Calibri" w:cs="Times New Roman"/>
      <w:sz w:val="24"/>
      <w:szCs w:val="24"/>
      <w:lang w:eastAsia="ru-RU"/>
    </w:rPr>
  </w:style>
  <w:style w:type="paragraph" w:customStyle="1" w:styleId="xl63">
    <w:name w:val="xl63"/>
    <w:basedOn w:val="a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29">
    <w:name w:val="Нет списка2"/>
    <w:next w:val="a5"/>
    <w:uiPriority w:val="99"/>
    <w:semiHidden/>
    <w:unhideWhenUsed/>
  </w:style>
  <w:style w:type="character" w:customStyle="1" w:styleId="ConsNormal0">
    <w:name w:val="ConsNormal Знак"/>
    <w:link w:val="ConsNormal"/>
    <w:rPr>
      <w:rFonts w:ascii="Arial" w:eastAsia="Times New Roman" w:hAnsi="Arial" w:cs="Times New Roman"/>
      <w:snapToGrid w:val="0"/>
      <w:sz w:val="20"/>
      <w:szCs w:val="20"/>
      <w:lang w:eastAsia="ru-RU"/>
    </w:rPr>
  </w:style>
  <w:style w:type="paragraph" w:customStyle="1" w:styleId="affff7">
    <w:name w:val="Нормальный (таблица)"/>
    <w:basedOn w:val="a2"/>
    <w:next w:val="a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8">
    <w:name w:val="Мясо Знак"/>
    <w:basedOn w:val="a2"/>
    <w:pPr>
      <w:suppressAutoHyphens/>
      <w:spacing w:after="0" w:line="240" w:lineRule="auto"/>
      <w:ind w:firstLine="709"/>
      <w:jc w:val="both"/>
    </w:pPr>
    <w:rPr>
      <w:rFonts w:ascii="Times New Roman" w:eastAsia="MS Mincho" w:hAnsi="Times New Roman" w:cs="Times New Roman"/>
      <w:sz w:val="28"/>
      <w:szCs w:val="28"/>
      <w:lang w:eastAsia="ar-SA"/>
    </w:rPr>
  </w:style>
  <w:style w:type="table" w:customStyle="1" w:styleId="2a">
    <w:name w:val="Сетка таблицы2"/>
    <w:basedOn w:val="a4"/>
    <w:next w:val="af"/>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topleveltext">
    <w:name w:val="formattext topleveltext"/>
    <w:basedOn w:val="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38">
    <w:name w:val="Style38"/>
    <w:basedOn w:val="a2"/>
    <w:uiPriority w:val="99"/>
    <w:pPr>
      <w:widowControl w:val="0"/>
      <w:autoSpaceDE w:val="0"/>
      <w:autoSpaceDN w:val="0"/>
      <w:adjustRightInd w:val="0"/>
      <w:spacing w:after="0" w:line="322" w:lineRule="exact"/>
      <w:ind w:firstLine="734"/>
      <w:jc w:val="both"/>
    </w:pPr>
    <w:rPr>
      <w:rFonts w:ascii="Times New Roman" w:eastAsia="Times New Roman" w:hAnsi="Times New Roman" w:cs="Times New Roman"/>
      <w:sz w:val="24"/>
      <w:szCs w:val="24"/>
      <w:lang w:eastAsia="ru-RU"/>
    </w:rPr>
  </w:style>
  <w:style w:type="paragraph" w:customStyle="1" w:styleId="Style88">
    <w:name w:val="Style88"/>
    <w:basedOn w:val="a2"/>
    <w:uiPriority w:val="99"/>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lang w:eastAsia="ru-RU"/>
    </w:rPr>
  </w:style>
  <w:style w:type="character" w:customStyle="1" w:styleId="FontStyle104">
    <w:name w:val="Font Style104"/>
    <w:basedOn w:val="a3"/>
    <w:uiPriority w:val="99"/>
    <w:rPr>
      <w:rFonts w:ascii="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18823">
      <w:bodyDiv w:val="1"/>
      <w:marLeft w:val="0"/>
      <w:marRight w:val="0"/>
      <w:marTop w:val="0"/>
      <w:marBottom w:val="0"/>
      <w:divBdr>
        <w:top w:val="none" w:sz="0" w:space="0" w:color="auto"/>
        <w:left w:val="none" w:sz="0" w:space="0" w:color="auto"/>
        <w:bottom w:val="none" w:sz="0" w:space="0" w:color="auto"/>
        <w:right w:val="none" w:sz="0" w:space="0" w:color="auto"/>
      </w:divBdr>
      <w:divsChild>
        <w:div w:id="1508323735">
          <w:marLeft w:val="0"/>
          <w:marRight w:val="0"/>
          <w:marTop w:val="0"/>
          <w:marBottom w:val="0"/>
          <w:divBdr>
            <w:top w:val="none" w:sz="0" w:space="0" w:color="auto"/>
            <w:left w:val="none" w:sz="0" w:space="0" w:color="auto"/>
            <w:bottom w:val="none" w:sz="0" w:space="0" w:color="auto"/>
            <w:right w:val="none" w:sz="0" w:space="0" w:color="auto"/>
          </w:divBdr>
          <w:divsChild>
            <w:div w:id="744883399">
              <w:marLeft w:val="0"/>
              <w:marRight w:val="0"/>
              <w:marTop w:val="0"/>
              <w:marBottom w:val="0"/>
              <w:divBdr>
                <w:top w:val="none" w:sz="0" w:space="0" w:color="auto"/>
                <w:left w:val="none" w:sz="0" w:space="0" w:color="auto"/>
                <w:bottom w:val="none" w:sz="0" w:space="0" w:color="auto"/>
                <w:right w:val="none" w:sz="0" w:space="0" w:color="auto"/>
              </w:divBdr>
              <w:divsChild>
                <w:div w:id="1258053646">
                  <w:marLeft w:val="0"/>
                  <w:marRight w:val="0"/>
                  <w:marTop w:val="0"/>
                  <w:marBottom w:val="0"/>
                  <w:divBdr>
                    <w:top w:val="none" w:sz="0" w:space="0" w:color="auto"/>
                    <w:left w:val="none" w:sz="0" w:space="0" w:color="auto"/>
                    <w:bottom w:val="none" w:sz="0" w:space="0" w:color="auto"/>
                    <w:right w:val="none" w:sz="0" w:space="0" w:color="auto"/>
                  </w:divBdr>
                  <w:divsChild>
                    <w:div w:id="211000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15565">
      <w:bodyDiv w:val="1"/>
      <w:marLeft w:val="0"/>
      <w:marRight w:val="0"/>
      <w:marTop w:val="0"/>
      <w:marBottom w:val="0"/>
      <w:divBdr>
        <w:top w:val="none" w:sz="0" w:space="0" w:color="auto"/>
        <w:left w:val="none" w:sz="0" w:space="0" w:color="auto"/>
        <w:bottom w:val="none" w:sz="0" w:space="0" w:color="auto"/>
        <w:right w:val="none" w:sz="0" w:space="0" w:color="auto"/>
      </w:divBdr>
    </w:div>
    <w:div w:id="38938105">
      <w:bodyDiv w:val="1"/>
      <w:marLeft w:val="0"/>
      <w:marRight w:val="0"/>
      <w:marTop w:val="0"/>
      <w:marBottom w:val="0"/>
      <w:divBdr>
        <w:top w:val="none" w:sz="0" w:space="0" w:color="auto"/>
        <w:left w:val="none" w:sz="0" w:space="0" w:color="auto"/>
        <w:bottom w:val="none" w:sz="0" w:space="0" w:color="auto"/>
        <w:right w:val="none" w:sz="0" w:space="0" w:color="auto"/>
      </w:divBdr>
    </w:div>
    <w:div w:id="60714815">
      <w:bodyDiv w:val="1"/>
      <w:marLeft w:val="0"/>
      <w:marRight w:val="0"/>
      <w:marTop w:val="0"/>
      <w:marBottom w:val="0"/>
      <w:divBdr>
        <w:top w:val="none" w:sz="0" w:space="0" w:color="auto"/>
        <w:left w:val="none" w:sz="0" w:space="0" w:color="auto"/>
        <w:bottom w:val="none" w:sz="0" w:space="0" w:color="auto"/>
        <w:right w:val="none" w:sz="0" w:space="0" w:color="auto"/>
      </w:divBdr>
    </w:div>
    <w:div w:id="62679808">
      <w:bodyDiv w:val="1"/>
      <w:marLeft w:val="0"/>
      <w:marRight w:val="0"/>
      <w:marTop w:val="0"/>
      <w:marBottom w:val="0"/>
      <w:divBdr>
        <w:top w:val="none" w:sz="0" w:space="0" w:color="auto"/>
        <w:left w:val="none" w:sz="0" w:space="0" w:color="auto"/>
        <w:bottom w:val="none" w:sz="0" w:space="0" w:color="auto"/>
        <w:right w:val="none" w:sz="0" w:space="0" w:color="auto"/>
      </w:divBdr>
    </w:div>
    <w:div w:id="97215887">
      <w:bodyDiv w:val="1"/>
      <w:marLeft w:val="0"/>
      <w:marRight w:val="0"/>
      <w:marTop w:val="0"/>
      <w:marBottom w:val="0"/>
      <w:divBdr>
        <w:top w:val="none" w:sz="0" w:space="0" w:color="auto"/>
        <w:left w:val="none" w:sz="0" w:space="0" w:color="auto"/>
        <w:bottom w:val="none" w:sz="0" w:space="0" w:color="auto"/>
        <w:right w:val="none" w:sz="0" w:space="0" w:color="auto"/>
      </w:divBdr>
    </w:div>
    <w:div w:id="105390080">
      <w:bodyDiv w:val="1"/>
      <w:marLeft w:val="0"/>
      <w:marRight w:val="0"/>
      <w:marTop w:val="0"/>
      <w:marBottom w:val="0"/>
      <w:divBdr>
        <w:top w:val="none" w:sz="0" w:space="0" w:color="auto"/>
        <w:left w:val="none" w:sz="0" w:space="0" w:color="auto"/>
        <w:bottom w:val="none" w:sz="0" w:space="0" w:color="auto"/>
        <w:right w:val="none" w:sz="0" w:space="0" w:color="auto"/>
      </w:divBdr>
    </w:div>
    <w:div w:id="136802379">
      <w:bodyDiv w:val="1"/>
      <w:marLeft w:val="0"/>
      <w:marRight w:val="0"/>
      <w:marTop w:val="0"/>
      <w:marBottom w:val="0"/>
      <w:divBdr>
        <w:top w:val="none" w:sz="0" w:space="0" w:color="auto"/>
        <w:left w:val="none" w:sz="0" w:space="0" w:color="auto"/>
        <w:bottom w:val="none" w:sz="0" w:space="0" w:color="auto"/>
        <w:right w:val="none" w:sz="0" w:space="0" w:color="auto"/>
      </w:divBdr>
    </w:div>
    <w:div w:id="152764463">
      <w:bodyDiv w:val="1"/>
      <w:marLeft w:val="0"/>
      <w:marRight w:val="0"/>
      <w:marTop w:val="0"/>
      <w:marBottom w:val="0"/>
      <w:divBdr>
        <w:top w:val="none" w:sz="0" w:space="0" w:color="auto"/>
        <w:left w:val="none" w:sz="0" w:space="0" w:color="auto"/>
        <w:bottom w:val="none" w:sz="0" w:space="0" w:color="auto"/>
        <w:right w:val="none" w:sz="0" w:space="0" w:color="auto"/>
      </w:divBdr>
    </w:div>
    <w:div w:id="169834923">
      <w:bodyDiv w:val="1"/>
      <w:marLeft w:val="0"/>
      <w:marRight w:val="0"/>
      <w:marTop w:val="0"/>
      <w:marBottom w:val="0"/>
      <w:divBdr>
        <w:top w:val="none" w:sz="0" w:space="0" w:color="auto"/>
        <w:left w:val="none" w:sz="0" w:space="0" w:color="auto"/>
        <w:bottom w:val="none" w:sz="0" w:space="0" w:color="auto"/>
        <w:right w:val="none" w:sz="0" w:space="0" w:color="auto"/>
      </w:divBdr>
    </w:div>
    <w:div w:id="179441611">
      <w:bodyDiv w:val="1"/>
      <w:marLeft w:val="0"/>
      <w:marRight w:val="0"/>
      <w:marTop w:val="0"/>
      <w:marBottom w:val="0"/>
      <w:divBdr>
        <w:top w:val="none" w:sz="0" w:space="0" w:color="auto"/>
        <w:left w:val="none" w:sz="0" w:space="0" w:color="auto"/>
        <w:bottom w:val="none" w:sz="0" w:space="0" w:color="auto"/>
        <w:right w:val="none" w:sz="0" w:space="0" w:color="auto"/>
      </w:divBdr>
    </w:div>
    <w:div w:id="206336628">
      <w:bodyDiv w:val="1"/>
      <w:marLeft w:val="0"/>
      <w:marRight w:val="0"/>
      <w:marTop w:val="0"/>
      <w:marBottom w:val="0"/>
      <w:divBdr>
        <w:top w:val="none" w:sz="0" w:space="0" w:color="auto"/>
        <w:left w:val="none" w:sz="0" w:space="0" w:color="auto"/>
        <w:bottom w:val="none" w:sz="0" w:space="0" w:color="auto"/>
        <w:right w:val="none" w:sz="0" w:space="0" w:color="auto"/>
      </w:divBdr>
    </w:div>
    <w:div w:id="210698944">
      <w:bodyDiv w:val="1"/>
      <w:marLeft w:val="0"/>
      <w:marRight w:val="0"/>
      <w:marTop w:val="0"/>
      <w:marBottom w:val="0"/>
      <w:divBdr>
        <w:top w:val="none" w:sz="0" w:space="0" w:color="auto"/>
        <w:left w:val="none" w:sz="0" w:space="0" w:color="auto"/>
        <w:bottom w:val="none" w:sz="0" w:space="0" w:color="auto"/>
        <w:right w:val="none" w:sz="0" w:space="0" w:color="auto"/>
      </w:divBdr>
    </w:div>
    <w:div w:id="219902365">
      <w:bodyDiv w:val="1"/>
      <w:marLeft w:val="0"/>
      <w:marRight w:val="0"/>
      <w:marTop w:val="0"/>
      <w:marBottom w:val="0"/>
      <w:divBdr>
        <w:top w:val="none" w:sz="0" w:space="0" w:color="auto"/>
        <w:left w:val="none" w:sz="0" w:space="0" w:color="auto"/>
        <w:bottom w:val="none" w:sz="0" w:space="0" w:color="auto"/>
        <w:right w:val="none" w:sz="0" w:space="0" w:color="auto"/>
      </w:divBdr>
    </w:div>
    <w:div w:id="225191250">
      <w:bodyDiv w:val="1"/>
      <w:marLeft w:val="0"/>
      <w:marRight w:val="0"/>
      <w:marTop w:val="0"/>
      <w:marBottom w:val="0"/>
      <w:divBdr>
        <w:top w:val="none" w:sz="0" w:space="0" w:color="auto"/>
        <w:left w:val="none" w:sz="0" w:space="0" w:color="auto"/>
        <w:bottom w:val="none" w:sz="0" w:space="0" w:color="auto"/>
        <w:right w:val="none" w:sz="0" w:space="0" w:color="auto"/>
      </w:divBdr>
    </w:div>
    <w:div w:id="273245926">
      <w:bodyDiv w:val="1"/>
      <w:marLeft w:val="0"/>
      <w:marRight w:val="0"/>
      <w:marTop w:val="0"/>
      <w:marBottom w:val="0"/>
      <w:divBdr>
        <w:top w:val="none" w:sz="0" w:space="0" w:color="auto"/>
        <w:left w:val="none" w:sz="0" w:space="0" w:color="auto"/>
        <w:bottom w:val="none" w:sz="0" w:space="0" w:color="auto"/>
        <w:right w:val="none" w:sz="0" w:space="0" w:color="auto"/>
      </w:divBdr>
    </w:div>
    <w:div w:id="296764841">
      <w:bodyDiv w:val="1"/>
      <w:marLeft w:val="0"/>
      <w:marRight w:val="0"/>
      <w:marTop w:val="0"/>
      <w:marBottom w:val="0"/>
      <w:divBdr>
        <w:top w:val="none" w:sz="0" w:space="0" w:color="auto"/>
        <w:left w:val="none" w:sz="0" w:space="0" w:color="auto"/>
        <w:bottom w:val="none" w:sz="0" w:space="0" w:color="auto"/>
        <w:right w:val="none" w:sz="0" w:space="0" w:color="auto"/>
      </w:divBdr>
    </w:div>
    <w:div w:id="299113965">
      <w:bodyDiv w:val="1"/>
      <w:marLeft w:val="0"/>
      <w:marRight w:val="0"/>
      <w:marTop w:val="0"/>
      <w:marBottom w:val="0"/>
      <w:divBdr>
        <w:top w:val="none" w:sz="0" w:space="0" w:color="auto"/>
        <w:left w:val="none" w:sz="0" w:space="0" w:color="auto"/>
        <w:bottom w:val="none" w:sz="0" w:space="0" w:color="auto"/>
        <w:right w:val="none" w:sz="0" w:space="0" w:color="auto"/>
      </w:divBdr>
    </w:div>
    <w:div w:id="301425766">
      <w:bodyDiv w:val="1"/>
      <w:marLeft w:val="0"/>
      <w:marRight w:val="0"/>
      <w:marTop w:val="0"/>
      <w:marBottom w:val="0"/>
      <w:divBdr>
        <w:top w:val="none" w:sz="0" w:space="0" w:color="auto"/>
        <w:left w:val="none" w:sz="0" w:space="0" w:color="auto"/>
        <w:bottom w:val="none" w:sz="0" w:space="0" w:color="auto"/>
        <w:right w:val="none" w:sz="0" w:space="0" w:color="auto"/>
      </w:divBdr>
    </w:div>
    <w:div w:id="302850568">
      <w:bodyDiv w:val="1"/>
      <w:marLeft w:val="0"/>
      <w:marRight w:val="0"/>
      <w:marTop w:val="0"/>
      <w:marBottom w:val="0"/>
      <w:divBdr>
        <w:top w:val="none" w:sz="0" w:space="0" w:color="auto"/>
        <w:left w:val="none" w:sz="0" w:space="0" w:color="auto"/>
        <w:bottom w:val="none" w:sz="0" w:space="0" w:color="auto"/>
        <w:right w:val="none" w:sz="0" w:space="0" w:color="auto"/>
      </w:divBdr>
    </w:div>
    <w:div w:id="333344510">
      <w:bodyDiv w:val="1"/>
      <w:marLeft w:val="0"/>
      <w:marRight w:val="0"/>
      <w:marTop w:val="0"/>
      <w:marBottom w:val="0"/>
      <w:divBdr>
        <w:top w:val="none" w:sz="0" w:space="0" w:color="auto"/>
        <w:left w:val="none" w:sz="0" w:space="0" w:color="auto"/>
        <w:bottom w:val="none" w:sz="0" w:space="0" w:color="auto"/>
        <w:right w:val="none" w:sz="0" w:space="0" w:color="auto"/>
      </w:divBdr>
    </w:div>
    <w:div w:id="335495058">
      <w:bodyDiv w:val="1"/>
      <w:marLeft w:val="0"/>
      <w:marRight w:val="0"/>
      <w:marTop w:val="0"/>
      <w:marBottom w:val="0"/>
      <w:divBdr>
        <w:top w:val="none" w:sz="0" w:space="0" w:color="auto"/>
        <w:left w:val="none" w:sz="0" w:space="0" w:color="auto"/>
        <w:bottom w:val="none" w:sz="0" w:space="0" w:color="auto"/>
        <w:right w:val="none" w:sz="0" w:space="0" w:color="auto"/>
      </w:divBdr>
    </w:div>
    <w:div w:id="341474250">
      <w:bodyDiv w:val="1"/>
      <w:marLeft w:val="0"/>
      <w:marRight w:val="0"/>
      <w:marTop w:val="0"/>
      <w:marBottom w:val="0"/>
      <w:divBdr>
        <w:top w:val="none" w:sz="0" w:space="0" w:color="auto"/>
        <w:left w:val="none" w:sz="0" w:space="0" w:color="auto"/>
        <w:bottom w:val="none" w:sz="0" w:space="0" w:color="auto"/>
        <w:right w:val="none" w:sz="0" w:space="0" w:color="auto"/>
      </w:divBdr>
    </w:div>
    <w:div w:id="344133367">
      <w:bodyDiv w:val="1"/>
      <w:marLeft w:val="0"/>
      <w:marRight w:val="0"/>
      <w:marTop w:val="0"/>
      <w:marBottom w:val="0"/>
      <w:divBdr>
        <w:top w:val="none" w:sz="0" w:space="0" w:color="auto"/>
        <w:left w:val="none" w:sz="0" w:space="0" w:color="auto"/>
        <w:bottom w:val="none" w:sz="0" w:space="0" w:color="auto"/>
        <w:right w:val="none" w:sz="0" w:space="0" w:color="auto"/>
      </w:divBdr>
    </w:div>
    <w:div w:id="355232710">
      <w:bodyDiv w:val="1"/>
      <w:marLeft w:val="0"/>
      <w:marRight w:val="0"/>
      <w:marTop w:val="0"/>
      <w:marBottom w:val="0"/>
      <w:divBdr>
        <w:top w:val="none" w:sz="0" w:space="0" w:color="auto"/>
        <w:left w:val="none" w:sz="0" w:space="0" w:color="auto"/>
        <w:bottom w:val="none" w:sz="0" w:space="0" w:color="auto"/>
        <w:right w:val="none" w:sz="0" w:space="0" w:color="auto"/>
      </w:divBdr>
    </w:div>
    <w:div w:id="370302133">
      <w:bodyDiv w:val="1"/>
      <w:marLeft w:val="0"/>
      <w:marRight w:val="0"/>
      <w:marTop w:val="0"/>
      <w:marBottom w:val="0"/>
      <w:divBdr>
        <w:top w:val="none" w:sz="0" w:space="0" w:color="auto"/>
        <w:left w:val="none" w:sz="0" w:space="0" w:color="auto"/>
        <w:bottom w:val="none" w:sz="0" w:space="0" w:color="auto"/>
        <w:right w:val="none" w:sz="0" w:space="0" w:color="auto"/>
      </w:divBdr>
    </w:div>
    <w:div w:id="386027645">
      <w:bodyDiv w:val="1"/>
      <w:marLeft w:val="0"/>
      <w:marRight w:val="0"/>
      <w:marTop w:val="0"/>
      <w:marBottom w:val="0"/>
      <w:divBdr>
        <w:top w:val="none" w:sz="0" w:space="0" w:color="auto"/>
        <w:left w:val="none" w:sz="0" w:space="0" w:color="auto"/>
        <w:bottom w:val="none" w:sz="0" w:space="0" w:color="auto"/>
        <w:right w:val="none" w:sz="0" w:space="0" w:color="auto"/>
      </w:divBdr>
    </w:div>
    <w:div w:id="401803320">
      <w:bodyDiv w:val="1"/>
      <w:marLeft w:val="0"/>
      <w:marRight w:val="0"/>
      <w:marTop w:val="0"/>
      <w:marBottom w:val="0"/>
      <w:divBdr>
        <w:top w:val="none" w:sz="0" w:space="0" w:color="auto"/>
        <w:left w:val="none" w:sz="0" w:space="0" w:color="auto"/>
        <w:bottom w:val="none" w:sz="0" w:space="0" w:color="auto"/>
        <w:right w:val="none" w:sz="0" w:space="0" w:color="auto"/>
      </w:divBdr>
    </w:div>
    <w:div w:id="419955263">
      <w:bodyDiv w:val="1"/>
      <w:marLeft w:val="0"/>
      <w:marRight w:val="0"/>
      <w:marTop w:val="0"/>
      <w:marBottom w:val="0"/>
      <w:divBdr>
        <w:top w:val="none" w:sz="0" w:space="0" w:color="auto"/>
        <w:left w:val="none" w:sz="0" w:space="0" w:color="auto"/>
        <w:bottom w:val="none" w:sz="0" w:space="0" w:color="auto"/>
        <w:right w:val="none" w:sz="0" w:space="0" w:color="auto"/>
      </w:divBdr>
    </w:div>
    <w:div w:id="438917051">
      <w:bodyDiv w:val="1"/>
      <w:marLeft w:val="0"/>
      <w:marRight w:val="0"/>
      <w:marTop w:val="0"/>
      <w:marBottom w:val="0"/>
      <w:divBdr>
        <w:top w:val="none" w:sz="0" w:space="0" w:color="auto"/>
        <w:left w:val="none" w:sz="0" w:space="0" w:color="auto"/>
        <w:bottom w:val="none" w:sz="0" w:space="0" w:color="auto"/>
        <w:right w:val="none" w:sz="0" w:space="0" w:color="auto"/>
      </w:divBdr>
    </w:div>
    <w:div w:id="443156811">
      <w:bodyDiv w:val="1"/>
      <w:marLeft w:val="0"/>
      <w:marRight w:val="0"/>
      <w:marTop w:val="0"/>
      <w:marBottom w:val="0"/>
      <w:divBdr>
        <w:top w:val="none" w:sz="0" w:space="0" w:color="auto"/>
        <w:left w:val="none" w:sz="0" w:space="0" w:color="auto"/>
        <w:bottom w:val="none" w:sz="0" w:space="0" w:color="auto"/>
        <w:right w:val="none" w:sz="0" w:space="0" w:color="auto"/>
      </w:divBdr>
    </w:div>
    <w:div w:id="444886866">
      <w:bodyDiv w:val="1"/>
      <w:marLeft w:val="0"/>
      <w:marRight w:val="0"/>
      <w:marTop w:val="0"/>
      <w:marBottom w:val="0"/>
      <w:divBdr>
        <w:top w:val="none" w:sz="0" w:space="0" w:color="auto"/>
        <w:left w:val="none" w:sz="0" w:space="0" w:color="auto"/>
        <w:bottom w:val="none" w:sz="0" w:space="0" w:color="auto"/>
        <w:right w:val="none" w:sz="0" w:space="0" w:color="auto"/>
      </w:divBdr>
    </w:div>
    <w:div w:id="447553239">
      <w:bodyDiv w:val="1"/>
      <w:marLeft w:val="0"/>
      <w:marRight w:val="0"/>
      <w:marTop w:val="0"/>
      <w:marBottom w:val="0"/>
      <w:divBdr>
        <w:top w:val="none" w:sz="0" w:space="0" w:color="auto"/>
        <w:left w:val="none" w:sz="0" w:space="0" w:color="auto"/>
        <w:bottom w:val="none" w:sz="0" w:space="0" w:color="auto"/>
        <w:right w:val="none" w:sz="0" w:space="0" w:color="auto"/>
      </w:divBdr>
      <w:divsChild>
        <w:div w:id="328599503">
          <w:marLeft w:val="0"/>
          <w:marRight w:val="0"/>
          <w:marTop w:val="0"/>
          <w:marBottom w:val="0"/>
          <w:divBdr>
            <w:top w:val="none" w:sz="0" w:space="0" w:color="auto"/>
            <w:left w:val="none" w:sz="0" w:space="0" w:color="auto"/>
            <w:bottom w:val="none" w:sz="0" w:space="0" w:color="auto"/>
            <w:right w:val="none" w:sz="0" w:space="0" w:color="auto"/>
          </w:divBdr>
        </w:div>
      </w:divsChild>
    </w:div>
    <w:div w:id="472211303">
      <w:bodyDiv w:val="1"/>
      <w:marLeft w:val="0"/>
      <w:marRight w:val="0"/>
      <w:marTop w:val="0"/>
      <w:marBottom w:val="0"/>
      <w:divBdr>
        <w:top w:val="none" w:sz="0" w:space="0" w:color="auto"/>
        <w:left w:val="none" w:sz="0" w:space="0" w:color="auto"/>
        <w:bottom w:val="none" w:sz="0" w:space="0" w:color="auto"/>
        <w:right w:val="none" w:sz="0" w:space="0" w:color="auto"/>
      </w:divBdr>
    </w:div>
    <w:div w:id="474296830">
      <w:bodyDiv w:val="1"/>
      <w:marLeft w:val="0"/>
      <w:marRight w:val="0"/>
      <w:marTop w:val="0"/>
      <w:marBottom w:val="0"/>
      <w:divBdr>
        <w:top w:val="none" w:sz="0" w:space="0" w:color="auto"/>
        <w:left w:val="none" w:sz="0" w:space="0" w:color="auto"/>
        <w:bottom w:val="none" w:sz="0" w:space="0" w:color="auto"/>
        <w:right w:val="none" w:sz="0" w:space="0" w:color="auto"/>
      </w:divBdr>
    </w:div>
    <w:div w:id="477112977">
      <w:bodyDiv w:val="1"/>
      <w:marLeft w:val="0"/>
      <w:marRight w:val="0"/>
      <w:marTop w:val="0"/>
      <w:marBottom w:val="0"/>
      <w:divBdr>
        <w:top w:val="none" w:sz="0" w:space="0" w:color="auto"/>
        <w:left w:val="none" w:sz="0" w:space="0" w:color="auto"/>
        <w:bottom w:val="none" w:sz="0" w:space="0" w:color="auto"/>
        <w:right w:val="none" w:sz="0" w:space="0" w:color="auto"/>
      </w:divBdr>
    </w:div>
    <w:div w:id="484785161">
      <w:bodyDiv w:val="1"/>
      <w:marLeft w:val="0"/>
      <w:marRight w:val="0"/>
      <w:marTop w:val="0"/>
      <w:marBottom w:val="0"/>
      <w:divBdr>
        <w:top w:val="none" w:sz="0" w:space="0" w:color="auto"/>
        <w:left w:val="none" w:sz="0" w:space="0" w:color="auto"/>
        <w:bottom w:val="none" w:sz="0" w:space="0" w:color="auto"/>
        <w:right w:val="none" w:sz="0" w:space="0" w:color="auto"/>
      </w:divBdr>
    </w:div>
    <w:div w:id="500973325">
      <w:bodyDiv w:val="1"/>
      <w:marLeft w:val="0"/>
      <w:marRight w:val="0"/>
      <w:marTop w:val="0"/>
      <w:marBottom w:val="0"/>
      <w:divBdr>
        <w:top w:val="none" w:sz="0" w:space="0" w:color="auto"/>
        <w:left w:val="none" w:sz="0" w:space="0" w:color="auto"/>
        <w:bottom w:val="none" w:sz="0" w:space="0" w:color="auto"/>
        <w:right w:val="none" w:sz="0" w:space="0" w:color="auto"/>
      </w:divBdr>
    </w:div>
    <w:div w:id="507795237">
      <w:bodyDiv w:val="1"/>
      <w:marLeft w:val="0"/>
      <w:marRight w:val="0"/>
      <w:marTop w:val="0"/>
      <w:marBottom w:val="0"/>
      <w:divBdr>
        <w:top w:val="none" w:sz="0" w:space="0" w:color="auto"/>
        <w:left w:val="none" w:sz="0" w:space="0" w:color="auto"/>
        <w:bottom w:val="none" w:sz="0" w:space="0" w:color="auto"/>
        <w:right w:val="none" w:sz="0" w:space="0" w:color="auto"/>
      </w:divBdr>
    </w:div>
    <w:div w:id="509493767">
      <w:bodyDiv w:val="1"/>
      <w:marLeft w:val="0"/>
      <w:marRight w:val="0"/>
      <w:marTop w:val="0"/>
      <w:marBottom w:val="0"/>
      <w:divBdr>
        <w:top w:val="none" w:sz="0" w:space="0" w:color="auto"/>
        <w:left w:val="none" w:sz="0" w:space="0" w:color="auto"/>
        <w:bottom w:val="none" w:sz="0" w:space="0" w:color="auto"/>
        <w:right w:val="none" w:sz="0" w:space="0" w:color="auto"/>
      </w:divBdr>
    </w:div>
    <w:div w:id="537619844">
      <w:bodyDiv w:val="1"/>
      <w:marLeft w:val="0"/>
      <w:marRight w:val="0"/>
      <w:marTop w:val="0"/>
      <w:marBottom w:val="0"/>
      <w:divBdr>
        <w:top w:val="none" w:sz="0" w:space="0" w:color="auto"/>
        <w:left w:val="none" w:sz="0" w:space="0" w:color="auto"/>
        <w:bottom w:val="none" w:sz="0" w:space="0" w:color="auto"/>
        <w:right w:val="none" w:sz="0" w:space="0" w:color="auto"/>
      </w:divBdr>
    </w:div>
    <w:div w:id="550962830">
      <w:bodyDiv w:val="1"/>
      <w:marLeft w:val="0"/>
      <w:marRight w:val="0"/>
      <w:marTop w:val="0"/>
      <w:marBottom w:val="0"/>
      <w:divBdr>
        <w:top w:val="none" w:sz="0" w:space="0" w:color="auto"/>
        <w:left w:val="none" w:sz="0" w:space="0" w:color="auto"/>
        <w:bottom w:val="none" w:sz="0" w:space="0" w:color="auto"/>
        <w:right w:val="none" w:sz="0" w:space="0" w:color="auto"/>
      </w:divBdr>
    </w:div>
    <w:div w:id="580480570">
      <w:bodyDiv w:val="1"/>
      <w:marLeft w:val="0"/>
      <w:marRight w:val="0"/>
      <w:marTop w:val="0"/>
      <w:marBottom w:val="0"/>
      <w:divBdr>
        <w:top w:val="none" w:sz="0" w:space="0" w:color="auto"/>
        <w:left w:val="none" w:sz="0" w:space="0" w:color="auto"/>
        <w:bottom w:val="none" w:sz="0" w:space="0" w:color="auto"/>
        <w:right w:val="none" w:sz="0" w:space="0" w:color="auto"/>
      </w:divBdr>
      <w:divsChild>
        <w:div w:id="1048187847">
          <w:marLeft w:val="0"/>
          <w:marRight w:val="0"/>
          <w:marTop w:val="0"/>
          <w:marBottom w:val="0"/>
          <w:divBdr>
            <w:top w:val="none" w:sz="0" w:space="0" w:color="auto"/>
            <w:left w:val="none" w:sz="0" w:space="0" w:color="auto"/>
            <w:bottom w:val="none" w:sz="0" w:space="0" w:color="auto"/>
            <w:right w:val="none" w:sz="0" w:space="0" w:color="auto"/>
          </w:divBdr>
        </w:div>
      </w:divsChild>
    </w:div>
    <w:div w:id="608390109">
      <w:bodyDiv w:val="1"/>
      <w:marLeft w:val="0"/>
      <w:marRight w:val="0"/>
      <w:marTop w:val="0"/>
      <w:marBottom w:val="0"/>
      <w:divBdr>
        <w:top w:val="none" w:sz="0" w:space="0" w:color="auto"/>
        <w:left w:val="none" w:sz="0" w:space="0" w:color="auto"/>
        <w:bottom w:val="none" w:sz="0" w:space="0" w:color="auto"/>
        <w:right w:val="none" w:sz="0" w:space="0" w:color="auto"/>
      </w:divBdr>
    </w:div>
    <w:div w:id="611129502">
      <w:bodyDiv w:val="1"/>
      <w:marLeft w:val="0"/>
      <w:marRight w:val="0"/>
      <w:marTop w:val="0"/>
      <w:marBottom w:val="0"/>
      <w:divBdr>
        <w:top w:val="none" w:sz="0" w:space="0" w:color="auto"/>
        <w:left w:val="none" w:sz="0" w:space="0" w:color="auto"/>
        <w:bottom w:val="none" w:sz="0" w:space="0" w:color="auto"/>
        <w:right w:val="none" w:sz="0" w:space="0" w:color="auto"/>
      </w:divBdr>
    </w:div>
    <w:div w:id="620648546">
      <w:bodyDiv w:val="1"/>
      <w:marLeft w:val="0"/>
      <w:marRight w:val="0"/>
      <w:marTop w:val="0"/>
      <w:marBottom w:val="0"/>
      <w:divBdr>
        <w:top w:val="none" w:sz="0" w:space="0" w:color="auto"/>
        <w:left w:val="none" w:sz="0" w:space="0" w:color="auto"/>
        <w:bottom w:val="none" w:sz="0" w:space="0" w:color="auto"/>
        <w:right w:val="none" w:sz="0" w:space="0" w:color="auto"/>
      </w:divBdr>
    </w:div>
    <w:div w:id="621038486">
      <w:bodyDiv w:val="1"/>
      <w:marLeft w:val="0"/>
      <w:marRight w:val="0"/>
      <w:marTop w:val="0"/>
      <w:marBottom w:val="0"/>
      <w:divBdr>
        <w:top w:val="none" w:sz="0" w:space="0" w:color="auto"/>
        <w:left w:val="none" w:sz="0" w:space="0" w:color="auto"/>
        <w:bottom w:val="none" w:sz="0" w:space="0" w:color="auto"/>
        <w:right w:val="none" w:sz="0" w:space="0" w:color="auto"/>
      </w:divBdr>
    </w:div>
    <w:div w:id="631056041">
      <w:bodyDiv w:val="1"/>
      <w:marLeft w:val="0"/>
      <w:marRight w:val="0"/>
      <w:marTop w:val="0"/>
      <w:marBottom w:val="0"/>
      <w:divBdr>
        <w:top w:val="none" w:sz="0" w:space="0" w:color="auto"/>
        <w:left w:val="none" w:sz="0" w:space="0" w:color="auto"/>
        <w:bottom w:val="none" w:sz="0" w:space="0" w:color="auto"/>
        <w:right w:val="none" w:sz="0" w:space="0" w:color="auto"/>
      </w:divBdr>
    </w:div>
    <w:div w:id="644166483">
      <w:bodyDiv w:val="1"/>
      <w:marLeft w:val="0"/>
      <w:marRight w:val="0"/>
      <w:marTop w:val="0"/>
      <w:marBottom w:val="0"/>
      <w:divBdr>
        <w:top w:val="none" w:sz="0" w:space="0" w:color="auto"/>
        <w:left w:val="none" w:sz="0" w:space="0" w:color="auto"/>
        <w:bottom w:val="none" w:sz="0" w:space="0" w:color="auto"/>
        <w:right w:val="none" w:sz="0" w:space="0" w:color="auto"/>
      </w:divBdr>
    </w:div>
    <w:div w:id="737241901">
      <w:bodyDiv w:val="1"/>
      <w:marLeft w:val="0"/>
      <w:marRight w:val="0"/>
      <w:marTop w:val="0"/>
      <w:marBottom w:val="0"/>
      <w:divBdr>
        <w:top w:val="none" w:sz="0" w:space="0" w:color="auto"/>
        <w:left w:val="none" w:sz="0" w:space="0" w:color="auto"/>
        <w:bottom w:val="none" w:sz="0" w:space="0" w:color="auto"/>
        <w:right w:val="none" w:sz="0" w:space="0" w:color="auto"/>
      </w:divBdr>
    </w:div>
    <w:div w:id="750927754">
      <w:bodyDiv w:val="1"/>
      <w:marLeft w:val="0"/>
      <w:marRight w:val="0"/>
      <w:marTop w:val="0"/>
      <w:marBottom w:val="0"/>
      <w:divBdr>
        <w:top w:val="none" w:sz="0" w:space="0" w:color="auto"/>
        <w:left w:val="none" w:sz="0" w:space="0" w:color="auto"/>
        <w:bottom w:val="none" w:sz="0" w:space="0" w:color="auto"/>
        <w:right w:val="none" w:sz="0" w:space="0" w:color="auto"/>
      </w:divBdr>
    </w:div>
    <w:div w:id="751969282">
      <w:bodyDiv w:val="1"/>
      <w:marLeft w:val="0"/>
      <w:marRight w:val="0"/>
      <w:marTop w:val="0"/>
      <w:marBottom w:val="0"/>
      <w:divBdr>
        <w:top w:val="none" w:sz="0" w:space="0" w:color="auto"/>
        <w:left w:val="none" w:sz="0" w:space="0" w:color="auto"/>
        <w:bottom w:val="none" w:sz="0" w:space="0" w:color="auto"/>
        <w:right w:val="none" w:sz="0" w:space="0" w:color="auto"/>
      </w:divBdr>
    </w:div>
    <w:div w:id="757560393">
      <w:bodyDiv w:val="1"/>
      <w:marLeft w:val="0"/>
      <w:marRight w:val="0"/>
      <w:marTop w:val="0"/>
      <w:marBottom w:val="0"/>
      <w:divBdr>
        <w:top w:val="none" w:sz="0" w:space="0" w:color="auto"/>
        <w:left w:val="none" w:sz="0" w:space="0" w:color="auto"/>
        <w:bottom w:val="none" w:sz="0" w:space="0" w:color="auto"/>
        <w:right w:val="none" w:sz="0" w:space="0" w:color="auto"/>
      </w:divBdr>
    </w:div>
    <w:div w:id="760300074">
      <w:bodyDiv w:val="1"/>
      <w:marLeft w:val="0"/>
      <w:marRight w:val="0"/>
      <w:marTop w:val="0"/>
      <w:marBottom w:val="0"/>
      <w:divBdr>
        <w:top w:val="none" w:sz="0" w:space="0" w:color="auto"/>
        <w:left w:val="none" w:sz="0" w:space="0" w:color="auto"/>
        <w:bottom w:val="none" w:sz="0" w:space="0" w:color="auto"/>
        <w:right w:val="none" w:sz="0" w:space="0" w:color="auto"/>
      </w:divBdr>
    </w:div>
    <w:div w:id="801196988">
      <w:bodyDiv w:val="1"/>
      <w:marLeft w:val="0"/>
      <w:marRight w:val="0"/>
      <w:marTop w:val="0"/>
      <w:marBottom w:val="0"/>
      <w:divBdr>
        <w:top w:val="none" w:sz="0" w:space="0" w:color="auto"/>
        <w:left w:val="none" w:sz="0" w:space="0" w:color="auto"/>
        <w:bottom w:val="none" w:sz="0" w:space="0" w:color="auto"/>
        <w:right w:val="none" w:sz="0" w:space="0" w:color="auto"/>
      </w:divBdr>
    </w:div>
    <w:div w:id="815954700">
      <w:bodyDiv w:val="1"/>
      <w:marLeft w:val="0"/>
      <w:marRight w:val="0"/>
      <w:marTop w:val="0"/>
      <w:marBottom w:val="0"/>
      <w:divBdr>
        <w:top w:val="none" w:sz="0" w:space="0" w:color="auto"/>
        <w:left w:val="none" w:sz="0" w:space="0" w:color="auto"/>
        <w:bottom w:val="none" w:sz="0" w:space="0" w:color="auto"/>
        <w:right w:val="none" w:sz="0" w:space="0" w:color="auto"/>
      </w:divBdr>
    </w:div>
    <w:div w:id="818884093">
      <w:bodyDiv w:val="1"/>
      <w:marLeft w:val="0"/>
      <w:marRight w:val="0"/>
      <w:marTop w:val="0"/>
      <w:marBottom w:val="0"/>
      <w:divBdr>
        <w:top w:val="none" w:sz="0" w:space="0" w:color="auto"/>
        <w:left w:val="none" w:sz="0" w:space="0" w:color="auto"/>
        <w:bottom w:val="none" w:sz="0" w:space="0" w:color="auto"/>
        <w:right w:val="none" w:sz="0" w:space="0" w:color="auto"/>
      </w:divBdr>
    </w:div>
    <w:div w:id="829980560">
      <w:bodyDiv w:val="1"/>
      <w:marLeft w:val="0"/>
      <w:marRight w:val="0"/>
      <w:marTop w:val="0"/>
      <w:marBottom w:val="0"/>
      <w:divBdr>
        <w:top w:val="none" w:sz="0" w:space="0" w:color="auto"/>
        <w:left w:val="none" w:sz="0" w:space="0" w:color="auto"/>
        <w:bottom w:val="none" w:sz="0" w:space="0" w:color="auto"/>
        <w:right w:val="none" w:sz="0" w:space="0" w:color="auto"/>
      </w:divBdr>
    </w:div>
    <w:div w:id="850606097">
      <w:bodyDiv w:val="1"/>
      <w:marLeft w:val="0"/>
      <w:marRight w:val="0"/>
      <w:marTop w:val="0"/>
      <w:marBottom w:val="0"/>
      <w:divBdr>
        <w:top w:val="none" w:sz="0" w:space="0" w:color="auto"/>
        <w:left w:val="none" w:sz="0" w:space="0" w:color="auto"/>
        <w:bottom w:val="none" w:sz="0" w:space="0" w:color="auto"/>
        <w:right w:val="none" w:sz="0" w:space="0" w:color="auto"/>
      </w:divBdr>
    </w:div>
    <w:div w:id="856965809">
      <w:bodyDiv w:val="1"/>
      <w:marLeft w:val="0"/>
      <w:marRight w:val="0"/>
      <w:marTop w:val="0"/>
      <w:marBottom w:val="0"/>
      <w:divBdr>
        <w:top w:val="none" w:sz="0" w:space="0" w:color="auto"/>
        <w:left w:val="none" w:sz="0" w:space="0" w:color="auto"/>
        <w:bottom w:val="none" w:sz="0" w:space="0" w:color="auto"/>
        <w:right w:val="none" w:sz="0" w:space="0" w:color="auto"/>
      </w:divBdr>
    </w:div>
    <w:div w:id="857501060">
      <w:bodyDiv w:val="1"/>
      <w:marLeft w:val="0"/>
      <w:marRight w:val="0"/>
      <w:marTop w:val="0"/>
      <w:marBottom w:val="0"/>
      <w:divBdr>
        <w:top w:val="none" w:sz="0" w:space="0" w:color="auto"/>
        <w:left w:val="none" w:sz="0" w:space="0" w:color="auto"/>
        <w:bottom w:val="none" w:sz="0" w:space="0" w:color="auto"/>
        <w:right w:val="none" w:sz="0" w:space="0" w:color="auto"/>
      </w:divBdr>
    </w:div>
    <w:div w:id="881745480">
      <w:bodyDiv w:val="1"/>
      <w:marLeft w:val="0"/>
      <w:marRight w:val="0"/>
      <w:marTop w:val="0"/>
      <w:marBottom w:val="0"/>
      <w:divBdr>
        <w:top w:val="none" w:sz="0" w:space="0" w:color="auto"/>
        <w:left w:val="none" w:sz="0" w:space="0" w:color="auto"/>
        <w:bottom w:val="none" w:sz="0" w:space="0" w:color="auto"/>
        <w:right w:val="none" w:sz="0" w:space="0" w:color="auto"/>
      </w:divBdr>
    </w:div>
    <w:div w:id="887450392">
      <w:bodyDiv w:val="1"/>
      <w:marLeft w:val="0"/>
      <w:marRight w:val="0"/>
      <w:marTop w:val="0"/>
      <w:marBottom w:val="0"/>
      <w:divBdr>
        <w:top w:val="none" w:sz="0" w:space="0" w:color="auto"/>
        <w:left w:val="none" w:sz="0" w:space="0" w:color="auto"/>
        <w:bottom w:val="none" w:sz="0" w:space="0" w:color="auto"/>
        <w:right w:val="none" w:sz="0" w:space="0" w:color="auto"/>
      </w:divBdr>
    </w:div>
    <w:div w:id="905917945">
      <w:bodyDiv w:val="1"/>
      <w:marLeft w:val="0"/>
      <w:marRight w:val="0"/>
      <w:marTop w:val="0"/>
      <w:marBottom w:val="0"/>
      <w:divBdr>
        <w:top w:val="none" w:sz="0" w:space="0" w:color="auto"/>
        <w:left w:val="none" w:sz="0" w:space="0" w:color="auto"/>
        <w:bottom w:val="none" w:sz="0" w:space="0" w:color="auto"/>
        <w:right w:val="none" w:sz="0" w:space="0" w:color="auto"/>
      </w:divBdr>
    </w:div>
    <w:div w:id="918756171">
      <w:bodyDiv w:val="1"/>
      <w:marLeft w:val="0"/>
      <w:marRight w:val="0"/>
      <w:marTop w:val="0"/>
      <w:marBottom w:val="0"/>
      <w:divBdr>
        <w:top w:val="none" w:sz="0" w:space="0" w:color="auto"/>
        <w:left w:val="none" w:sz="0" w:space="0" w:color="auto"/>
        <w:bottom w:val="none" w:sz="0" w:space="0" w:color="auto"/>
        <w:right w:val="none" w:sz="0" w:space="0" w:color="auto"/>
      </w:divBdr>
    </w:div>
    <w:div w:id="922222737">
      <w:bodyDiv w:val="1"/>
      <w:marLeft w:val="0"/>
      <w:marRight w:val="0"/>
      <w:marTop w:val="0"/>
      <w:marBottom w:val="0"/>
      <w:divBdr>
        <w:top w:val="none" w:sz="0" w:space="0" w:color="auto"/>
        <w:left w:val="none" w:sz="0" w:space="0" w:color="auto"/>
        <w:bottom w:val="none" w:sz="0" w:space="0" w:color="auto"/>
        <w:right w:val="none" w:sz="0" w:space="0" w:color="auto"/>
      </w:divBdr>
    </w:div>
    <w:div w:id="925187936">
      <w:bodyDiv w:val="1"/>
      <w:marLeft w:val="0"/>
      <w:marRight w:val="0"/>
      <w:marTop w:val="0"/>
      <w:marBottom w:val="0"/>
      <w:divBdr>
        <w:top w:val="none" w:sz="0" w:space="0" w:color="auto"/>
        <w:left w:val="none" w:sz="0" w:space="0" w:color="auto"/>
        <w:bottom w:val="none" w:sz="0" w:space="0" w:color="auto"/>
        <w:right w:val="none" w:sz="0" w:space="0" w:color="auto"/>
      </w:divBdr>
    </w:div>
    <w:div w:id="965890462">
      <w:bodyDiv w:val="1"/>
      <w:marLeft w:val="0"/>
      <w:marRight w:val="0"/>
      <w:marTop w:val="0"/>
      <w:marBottom w:val="0"/>
      <w:divBdr>
        <w:top w:val="none" w:sz="0" w:space="0" w:color="auto"/>
        <w:left w:val="none" w:sz="0" w:space="0" w:color="auto"/>
        <w:bottom w:val="none" w:sz="0" w:space="0" w:color="auto"/>
        <w:right w:val="none" w:sz="0" w:space="0" w:color="auto"/>
      </w:divBdr>
    </w:div>
    <w:div w:id="979649727">
      <w:bodyDiv w:val="1"/>
      <w:marLeft w:val="0"/>
      <w:marRight w:val="0"/>
      <w:marTop w:val="0"/>
      <w:marBottom w:val="0"/>
      <w:divBdr>
        <w:top w:val="none" w:sz="0" w:space="0" w:color="auto"/>
        <w:left w:val="none" w:sz="0" w:space="0" w:color="auto"/>
        <w:bottom w:val="none" w:sz="0" w:space="0" w:color="auto"/>
        <w:right w:val="none" w:sz="0" w:space="0" w:color="auto"/>
      </w:divBdr>
    </w:div>
    <w:div w:id="980421084">
      <w:bodyDiv w:val="1"/>
      <w:marLeft w:val="0"/>
      <w:marRight w:val="0"/>
      <w:marTop w:val="0"/>
      <w:marBottom w:val="0"/>
      <w:divBdr>
        <w:top w:val="none" w:sz="0" w:space="0" w:color="auto"/>
        <w:left w:val="none" w:sz="0" w:space="0" w:color="auto"/>
        <w:bottom w:val="none" w:sz="0" w:space="0" w:color="auto"/>
        <w:right w:val="none" w:sz="0" w:space="0" w:color="auto"/>
      </w:divBdr>
      <w:divsChild>
        <w:div w:id="85660794">
          <w:marLeft w:val="0"/>
          <w:marRight w:val="0"/>
          <w:marTop w:val="0"/>
          <w:marBottom w:val="0"/>
          <w:divBdr>
            <w:top w:val="none" w:sz="0" w:space="0" w:color="auto"/>
            <w:left w:val="none" w:sz="0" w:space="0" w:color="auto"/>
            <w:bottom w:val="none" w:sz="0" w:space="0" w:color="auto"/>
            <w:right w:val="none" w:sz="0" w:space="0" w:color="auto"/>
          </w:divBdr>
        </w:div>
        <w:div w:id="736323512">
          <w:marLeft w:val="0"/>
          <w:marRight w:val="0"/>
          <w:marTop w:val="0"/>
          <w:marBottom w:val="0"/>
          <w:divBdr>
            <w:top w:val="none" w:sz="0" w:space="0" w:color="auto"/>
            <w:left w:val="none" w:sz="0" w:space="0" w:color="auto"/>
            <w:bottom w:val="none" w:sz="0" w:space="0" w:color="auto"/>
            <w:right w:val="none" w:sz="0" w:space="0" w:color="auto"/>
          </w:divBdr>
        </w:div>
        <w:div w:id="317540018">
          <w:marLeft w:val="0"/>
          <w:marRight w:val="0"/>
          <w:marTop w:val="0"/>
          <w:marBottom w:val="0"/>
          <w:divBdr>
            <w:top w:val="none" w:sz="0" w:space="0" w:color="auto"/>
            <w:left w:val="none" w:sz="0" w:space="0" w:color="auto"/>
            <w:bottom w:val="none" w:sz="0" w:space="0" w:color="auto"/>
            <w:right w:val="none" w:sz="0" w:space="0" w:color="auto"/>
          </w:divBdr>
        </w:div>
        <w:div w:id="1008604854">
          <w:marLeft w:val="0"/>
          <w:marRight w:val="0"/>
          <w:marTop w:val="0"/>
          <w:marBottom w:val="0"/>
          <w:divBdr>
            <w:top w:val="none" w:sz="0" w:space="0" w:color="auto"/>
            <w:left w:val="none" w:sz="0" w:space="0" w:color="auto"/>
            <w:bottom w:val="none" w:sz="0" w:space="0" w:color="auto"/>
            <w:right w:val="none" w:sz="0" w:space="0" w:color="auto"/>
          </w:divBdr>
        </w:div>
        <w:div w:id="1604800396">
          <w:marLeft w:val="0"/>
          <w:marRight w:val="0"/>
          <w:marTop w:val="0"/>
          <w:marBottom w:val="0"/>
          <w:divBdr>
            <w:top w:val="none" w:sz="0" w:space="0" w:color="auto"/>
            <w:left w:val="none" w:sz="0" w:space="0" w:color="auto"/>
            <w:bottom w:val="none" w:sz="0" w:space="0" w:color="auto"/>
            <w:right w:val="none" w:sz="0" w:space="0" w:color="auto"/>
          </w:divBdr>
        </w:div>
        <w:div w:id="1166938964">
          <w:marLeft w:val="0"/>
          <w:marRight w:val="0"/>
          <w:marTop w:val="0"/>
          <w:marBottom w:val="0"/>
          <w:divBdr>
            <w:top w:val="none" w:sz="0" w:space="0" w:color="auto"/>
            <w:left w:val="none" w:sz="0" w:space="0" w:color="auto"/>
            <w:bottom w:val="none" w:sz="0" w:space="0" w:color="auto"/>
            <w:right w:val="none" w:sz="0" w:space="0" w:color="auto"/>
          </w:divBdr>
        </w:div>
        <w:div w:id="294410278">
          <w:marLeft w:val="0"/>
          <w:marRight w:val="0"/>
          <w:marTop w:val="0"/>
          <w:marBottom w:val="0"/>
          <w:divBdr>
            <w:top w:val="none" w:sz="0" w:space="0" w:color="auto"/>
            <w:left w:val="none" w:sz="0" w:space="0" w:color="auto"/>
            <w:bottom w:val="none" w:sz="0" w:space="0" w:color="auto"/>
            <w:right w:val="none" w:sz="0" w:space="0" w:color="auto"/>
          </w:divBdr>
        </w:div>
        <w:div w:id="1168667781">
          <w:marLeft w:val="0"/>
          <w:marRight w:val="0"/>
          <w:marTop w:val="0"/>
          <w:marBottom w:val="0"/>
          <w:divBdr>
            <w:top w:val="none" w:sz="0" w:space="0" w:color="auto"/>
            <w:left w:val="none" w:sz="0" w:space="0" w:color="auto"/>
            <w:bottom w:val="none" w:sz="0" w:space="0" w:color="auto"/>
            <w:right w:val="none" w:sz="0" w:space="0" w:color="auto"/>
          </w:divBdr>
        </w:div>
        <w:div w:id="792871532">
          <w:marLeft w:val="0"/>
          <w:marRight w:val="0"/>
          <w:marTop w:val="0"/>
          <w:marBottom w:val="0"/>
          <w:divBdr>
            <w:top w:val="none" w:sz="0" w:space="0" w:color="auto"/>
            <w:left w:val="none" w:sz="0" w:space="0" w:color="auto"/>
            <w:bottom w:val="none" w:sz="0" w:space="0" w:color="auto"/>
            <w:right w:val="none" w:sz="0" w:space="0" w:color="auto"/>
          </w:divBdr>
        </w:div>
        <w:div w:id="1341278930">
          <w:marLeft w:val="0"/>
          <w:marRight w:val="0"/>
          <w:marTop w:val="0"/>
          <w:marBottom w:val="0"/>
          <w:divBdr>
            <w:top w:val="none" w:sz="0" w:space="0" w:color="auto"/>
            <w:left w:val="none" w:sz="0" w:space="0" w:color="auto"/>
            <w:bottom w:val="none" w:sz="0" w:space="0" w:color="auto"/>
            <w:right w:val="none" w:sz="0" w:space="0" w:color="auto"/>
          </w:divBdr>
        </w:div>
        <w:div w:id="36010593">
          <w:marLeft w:val="0"/>
          <w:marRight w:val="0"/>
          <w:marTop w:val="0"/>
          <w:marBottom w:val="0"/>
          <w:divBdr>
            <w:top w:val="none" w:sz="0" w:space="0" w:color="auto"/>
            <w:left w:val="none" w:sz="0" w:space="0" w:color="auto"/>
            <w:bottom w:val="none" w:sz="0" w:space="0" w:color="auto"/>
            <w:right w:val="none" w:sz="0" w:space="0" w:color="auto"/>
          </w:divBdr>
        </w:div>
        <w:div w:id="326516601">
          <w:marLeft w:val="0"/>
          <w:marRight w:val="0"/>
          <w:marTop w:val="0"/>
          <w:marBottom w:val="0"/>
          <w:divBdr>
            <w:top w:val="none" w:sz="0" w:space="0" w:color="auto"/>
            <w:left w:val="none" w:sz="0" w:space="0" w:color="auto"/>
            <w:bottom w:val="none" w:sz="0" w:space="0" w:color="auto"/>
            <w:right w:val="none" w:sz="0" w:space="0" w:color="auto"/>
          </w:divBdr>
        </w:div>
        <w:div w:id="659385313">
          <w:marLeft w:val="0"/>
          <w:marRight w:val="0"/>
          <w:marTop w:val="0"/>
          <w:marBottom w:val="0"/>
          <w:divBdr>
            <w:top w:val="none" w:sz="0" w:space="0" w:color="auto"/>
            <w:left w:val="none" w:sz="0" w:space="0" w:color="auto"/>
            <w:bottom w:val="none" w:sz="0" w:space="0" w:color="auto"/>
            <w:right w:val="none" w:sz="0" w:space="0" w:color="auto"/>
          </w:divBdr>
        </w:div>
        <w:div w:id="868372337">
          <w:marLeft w:val="0"/>
          <w:marRight w:val="0"/>
          <w:marTop w:val="0"/>
          <w:marBottom w:val="0"/>
          <w:divBdr>
            <w:top w:val="none" w:sz="0" w:space="0" w:color="auto"/>
            <w:left w:val="none" w:sz="0" w:space="0" w:color="auto"/>
            <w:bottom w:val="none" w:sz="0" w:space="0" w:color="auto"/>
            <w:right w:val="none" w:sz="0" w:space="0" w:color="auto"/>
          </w:divBdr>
        </w:div>
        <w:div w:id="1266615061">
          <w:marLeft w:val="0"/>
          <w:marRight w:val="0"/>
          <w:marTop w:val="0"/>
          <w:marBottom w:val="0"/>
          <w:divBdr>
            <w:top w:val="none" w:sz="0" w:space="0" w:color="auto"/>
            <w:left w:val="none" w:sz="0" w:space="0" w:color="auto"/>
            <w:bottom w:val="none" w:sz="0" w:space="0" w:color="auto"/>
            <w:right w:val="none" w:sz="0" w:space="0" w:color="auto"/>
          </w:divBdr>
        </w:div>
        <w:div w:id="1126848350">
          <w:marLeft w:val="0"/>
          <w:marRight w:val="0"/>
          <w:marTop w:val="0"/>
          <w:marBottom w:val="0"/>
          <w:divBdr>
            <w:top w:val="none" w:sz="0" w:space="0" w:color="auto"/>
            <w:left w:val="none" w:sz="0" w:space="0" w:color="auto"/>
            <w:bottom w:val="none" w:sz="0" w:space="0" w:color="auto"/>
            <w:right w:val="none" w:sz="0" w:space="0" w:color="auto"/>
          </w:divBdr>
        </w:div>
        <w:div w:id="1112935601">
          <w:marLeft w:val="0"/>
          <w:marRight w:val="0"/>
          <w:marTop w:val="0"/>
          <w:marBottom w:val="0"/>
          <w:divBdr>
            <w:top w:val="none" w:sz="0" w:space="0" w:color="auto"/>
            <w:left w:val="none" w:sz="0" w:space="0" w:color="auto"/>
            <w:bottom w:val="none" w:sz="0" w:space="0" w:color="auto"/>
            <w:right w:val="none" w:sz="0" w:space="0" w:color="auto"/>
          </w:divBdr>
        </w:div>
        <w:div w:id="1834835881">
          <w:marLeft w:val="0"/>
          <w:marRight w:val="0"/>
          <w:marTop w:val="0"/>
          <w:marBottom w:val="0"/>
          <w:divBdr>
            <w:top w:val="none" w:sz="0" w:space="0" w:color="auto"/>
            <w:left w:val="none" w:sz="0" w:space="0" w:color="auto"/>
            <w:bottom w:val="none" w:sz="0" w:space="0" w:color="auto"/>
            <w:right w:val="none" w:sz="0" w:space="0" w:color="auto"/>
          </w:divBdr>
        </w:div>
        <w:div w:id="1851869836">
          <w:marLeft w:val="0"/>
          <w:marRight w:val="0"/>
          <w:marTop w:val="0"/>
          <w:marBottom w:val="0"/>
          <w:divBdr>
            <w:top w:val="none" w:sz="0" w:space="0" w:color="auto"/>
            <w:left w:val="none" w:sz="0" w:space="0" w:color="auto"/>
            <w:bottom w:val="none" w:sz="0" w:space="0" w:color="auto"/>
            <w:right w:val="none" w:sz="0" w:space="0" w:color="auto"/>
          </w:divBdr>
        </w:div>
      </w:divsChild>
    </w:div>
    <w:div w:id="985663177">
      <w:bodyDiv w:val="1"/>
      <w:marLeft w:val="0"/>
      <w:marRight w:val="0"/>
      <w:marTop w:val="0"/>
      <w:marBottom w:val="0"/>
      <w:divBdr>
        <w:top w:val="none" w:sz="0" w:space="0" w:color="auto"/>
        <w:left w:val="none" w:sz="0" w:space="0" w:color="auto"/>
        <w:bottom w:val="none" w:sz="0" w:space="0" w:color="auto"/>
        <w:right w:val="none" w:sz="0" w:space="0" w:color="auto"/>
      </w:divBdr>
    </w:div>
    <w:div w:id="989289351">
      <w:bodyDiv w:val="1"/>
      <w:marLeft w:val="0"/>
      <w:marRight w:val="0"/>
      <w:marTop w:val="0"/>
      <w:marBottom w:val="0"/>
      <w:divBdr>
        <w:top w:val="none" w:sz="0" w:space="0" w:color="auto"/>
        <w:left w:val="none" w:sz="0" w:space="0" w:color="auto"/>
        <w:bottom w:val="none" w:sz="0" w:space="0" w:color="auto"/>
        <w:right w:val="none" w:sz="0" w:space="0" w:color="auto"/>
      </w:divBdr>
    </w:div>
    <w:div w:id="994529027">
      <w:bodyDiv w:val="1"/>
      <w:marLeft w:val="0"/>
      <w:marRight w:val="0"/>
      <w:marTop w:val="0"/>
      <w:marBottom w:val="0"/>
      <w:divBdr>
        <w:top w:val="none" w:sz="0" w:space="0" w:color="auto"/>
        <w:left w:val="none" w:sz="0" w:space="0" w:color="auto"/>
        <w:bottom w:val="none" w:sz="0" w:space="0" w:color="auto"/>
        <w:right w:val="none" w:sz="0" w:space="0" w:color="auto"/>
      </w:divBdr>
    </w:div>
    <w:div w:id="1012337982">
      <w:bodyDiv w:val="1"/>
      <w:marLeft w:val="0"/>
      <w:marRight w:val="0"/>
      <w:marTop w:val="0"/>
      <w:marBottom w:val="0"/>
      <w:divBdr>
        <w:top w:val="none" w:sz="0" w:space="0" w:color="auto"/>
        <w:left w:val="none" w:sz="0" w:space="0" w:color="auto"/>
        <w:bottom w:val="none" w:sz="0" w:space="0" w:color="auto"/>
        <w:right w:val="none" w:sz="0" w:space="0" w:color="auto"/>
      </w:divBdr>
    </w:div>
    <w:div w:id="1016543395">
      <w:bodyDiv w:val="1"/>
      <w:marLeft w:val="0"/>
      <w:marRight w:val="0"/>
      <w:marTop w:val="0"/>
      <w:marBottom w:val="0"/>
      <w:divBdr>
        <w:top w:val="none" w:sz="0" w:space="0" w:color="auto"/>
        <w:left w:val="none" w:sz="0" w:space="0" w:color="auto"/>
        <w:bottom w:val="none" w:sz="0" w:space="0" w:color="auto"/>
        <w:right w:val="none" w:sz="0" w:space="0" w:color="auto"/>
      </w:divBdr>
    </w:div>
    <w:div w:id="1023440755">
      <w:bodyDiv w:val="1"/>
      <w:marLeft w:val="0"/>
      <w:marRight w:val="0"/>
      <w:marTop w:val="0"/>
      <w:marBottom w:val="0"/>
      <w:divBdr>
        <w:top w:val="none" w:sz="0" w:space="0" w:color="auto"/>
        <w:left w:val="none" w:sz="0" w:space="0" w:color="auto"/>
        <w:bottom w:val="none" w:sz="0" w:space="0" w:color="auto"/>
        <w:right w:val="none" w:sz="0" w:space="0" w:color="auto"/>
      </w:divBdr>
    </w:div>
    <w:div w:id="1071930421">
      <w:bodyDiv w:val="1"/>
      <w:marLeft w:val="0"/>
      <w:marRight w:val="0"/>
      <w:marTop w:val="0"/>
      <w:marBottom w:val="0"/>
      <w:divBdr>
        <w:top w:val="none" w:sz="0" w:space="0" w:color="auto"/>
        <w:left w:val="none" w:sz="0" w:space="0" w:color="auto"/>
        <w:bottom w:val="none" w:sz="0" w:space="0" w:color="auto"/>
        <w:right w:val="none" w:sz="0" w:space="0" w:color="auto"/>
      </w:divBdr>
    </w:div>
    <w:div w:id="1079059051">
      <w:bodyDiv w:val="1"/>
      <w:marLeft w:val="0"/>
      <w:marRight w:val="0"/>
      <w:marTop w:val="0"/>
      <w:marBottom w:val="0"/>
      <w:divBdr>
        <w:top w:val="none" w:sz="0" w:space="0" w:color="auto"/>
        <w:left w:val="none" w:sz="0" w:space="0" w:color="auto"/>
        <w:bottom w:val="none" w:sz="0" w:space="0" w:color="auto"/>
        <w:right w:val="none" w:sz="0" w:space="0" w:color="auto"/>
      </w:divBdr>
    </w:div>
    <w:div w:id="1109204912">
      <w:bodyDiv w:val="1"/>
      <w:marLeft w:val="0"/>
      <w:marRight w:val="0"/>
      <w:marTop w:val="0"/>
      <w:marBottom w:val="0"/>
      <w:divBdr>
        <w:top w:val="none" w:sz="0" w:space="0" w:color="auto"/>
        <w:left w:val="none" w:sz="0" w:space="0" w:color="auto"/>
        <w:bottom w:val="none" w:sz="0" w:space="0" w:color="auto"/>
        <w:right w:val="none" w:sz="0" w:space="0" w:color="auto"/>
      </w:divBdr>
    </w:div>
    <w:div w:id="1120800748">
      <w:bodyDiv w:val="1"/>
      <w:marLeft w:val="0"/>
      <w:marRight w:val="0"/>
      <w:marTop w:val="0"/>
      <w:marBottom w:val="0"/>
      <w:divBdr>
        <w:top w:val="none" w:sz="0" w:space="0" w:color="auto"/>
        <w:left w:val="none" w:sz="0" w:space="0" w:color="auto"/>
        <w:bottom w:val="none" w:sz="0" w:space="0" w:color="auto"/>
        <w:right w:val="none" w:sz="0" w:space="0" w:color="auto"/>
      </w:divBdr>
    </w:div>
    <w:div w:id="1121220914">
      <w:bodyDiv w:val="1"/>
      <w:marLeft w:val="0"/>
      <w:marRight w:val="0"/>
      <w:marTop w:val="0"/>
      <w:marBottom w:val="0"/>
      <w:divBdr>
        <w:top w:val="none" w:sz="0" w:space="0" w:color="auto"/>
        <w:left w:val="none" w:sz="0" w:space="0" w:color="auto"/>
        <w:bottom w:val="none" w:sz="0" w:space="0" w:color="auto"/>
        <w:right w:val="none" w:sz="0" w:space="0" w:color="auto"/>
      </w:divBdr>
    </w:div>
    <w:div w:id="1123618698">
      <w:bodyDiv w:val="1"/>
      <w:marLeft w:val="0"/>
      <w:marRight w:val="0"/>
      <w:marTop w:val="0"/>
      <w:marBottom w:val="0"/>
      <w:divBdr>
        <w:top w:val="none" w:sz="0" w:space="0" w:color="auto"/>
        <w:left w:val="none" w:sz="0" w:space="0" w:color="auto"/>
        <w:bottom w:val="none" w:sz="0" w:space="0" w:color="auto"/>
        <w:right w:val="none" w:sz="0" w:space="0" w:color="auto"/>
      </w:divBdr>
    </w:div>
    <w:div w:id="1145272900">
      <w:bodyDiv w:val="1"/>
      <w:marLeft w:val="0"/>
      <w:marRight w:val="0"/>
      <w:marTop w:val="0"/>
      <w:marBottom w:val="0"/>
      <w:divBdr>
        <w:top w:val="none" w:sz="0" w:space="0" w:color="auto"/>
        <w:left w:val="none" w:sz="0" w:space="0" w:color="auto"/>
        <w:bottom w:val="none" w:sz="0" w:space="0" w:color="auto"/>
        <w:right w:val="none" w:sz="0" w:space="0" w:color="auto"/>
      </w:divBdr>
    </w:div>
    <w:div w:id="1182665098">
      <w:bodyDiv w:val="1"/>
      <w:marLeft w:val="0"/>
      <w:marRight w:val="0"/>
      <w:marTop w:val="0"/>
      <w:marBottom w:val="0"/>
      <w:divBdr>
        <w:top w:val="none" w:sz="0" w:space="0" w:color="auto"/>
        <w:left w:val="none" w:sz="0" w:space="0" w:color="auto"/>
        <w:bottom w:val="none" w:sz="0" w:space="0" w:color="auto"/>
        <w:right w:val="none" w:sz="0" w:space="0" w:color="auto"/>
      </w:divBdr>
    </w:div>
    <w:div w:id="1213536057">
      <w:bodyDiv w:val="1"/>
      <w:marLeft w:val="0"/>
      <w:marRight w:val="0"/>
      <w:marTop w:val="0"/>
      <w:marBottom w:val="0"/>
      <w:divBdr>
        <w:top w:val="none" w:sz="0" w:space="0" w:color="auto"/>
        <w:left w:val="none" w:sz="0" w:space="0" w:color="auto"/>
        <w:bottom w:val="none" w:sz="0" w:space="0" w:color="auto"/>
        <w:right w:val="none" w:sz="0" w:space="0" w:color="auto"/>
      </w:divBdr>
    </w:div>
    <w:div w:id="1231185818">
      <w:bodyDiv w:val="1"/>
      <w:marLeft w:val="0"/>
      <w:marRight w:val="0"/>
      <w:marTop w:val="0"/>
      <w:marBottom w:val="0"/>
      <w:divBdr>
        <w:top w:val="none" w:sz="0" w:space="0" w:color="auto"/>
        <w:left w:val="none" w:sz="0" w:space="0" w:color="auto"/>
        <w:bottom w:val="none" w:sz="0" w:space="0" w:color="auto"/>
        <w:right w:val="none" w:sz="0" w:space="0" w:color="auto"/>
      </w:divBdr>
    </w:div>
    <w:div w:id="1239947792">
      <w:bodyDiv w:val="1"/>
      <w:marLeft w:val="0"/>
      <w:marRight w:val="0"/>
      <w:marTop w:val="0"/>
      <w:marBottom w:val="0"/>
      <w:divBdr>
        <w:top w:val="none" w:sz="0" w:space="0" w:color="auto"/>
        <w:left w:val="none" w:sz="0" w:space="0" w:color="auto"/>
        <w:bottom w:val="none" w:sz="0" w:space="0" w:color="auto"/>
        <w:right w:val="none" w:sz="0" w:space="0" w:color="auto"/>
      </w:divBdr>
    </w:div>
    <w:div w:id="1252541452">
      <w:bodyDiv w:val="1"/>
      <w:marLeft w:val="0"/>
      <w:marRight w:val="0"/>
      <w:marTop w:val="0"/>
      <w:marBottom w:val="0"/>
      <w:divBdr>
        <w:top w:val="none" w:sz="0" w:space="0" w:color="auto"/>
        <w:left w:val="none" w:sz="0" w:space="0" w:color="auto"/>
        <w:bottom w:val="none" w:sz="0" w:space="0" w:color="auto"/>
        <w:right w:val="none" w:sz="0" w:space="0" w:color="auto"/>
      </w:divBdr>
    </w:div>
    <w:div w:id="1278948063">
      <w:bodyDiv w:val="1"/>
      <w:marLeft w:val="0"/>
      <w:marRight w:val="0"/>
      <w:marTop w:val="0"/>
      <w:marBottom w:val="0"/>
      <w:divBdr>
        <w:top w:val="none" w:sz="0" w:space="0" w:color="auto"/>
        <w:left w:val="none" w:sz="0" w:space="0" w:color="auto"/>
        <w:bottom w:val="none" w:sz="0" w:space="0" w:color="auto"/>
        <w:right w:val="none" w:sz="0" w:space="0" w:color="auto"/>
      </w:divBdr>
    </w:div>
    <w:div w:id="1332373563">
      <w:bodyDiv w:val="1"/>
      <w:marLeft w:val="0"/>
      <w:marRight w:val="0"/>
      <w:marTop w:val="0"/>
      <w:marBottom w:val="0"/>
      <w:divBdr>
        <w:top w:val="none" w:sz="0" w:space="0" w:color="auto"/>
        <w:left w:val="none" w:sz="0" w:space="0" w:color="auto"/>
        <w:bottom w:val="none" w:sz="0" w:space="0" w:color="auto"/>
        <w:right w:val="none" w:sz="0" w:space="0" w:color="auto"/>
      </w:divBdr>
    </w:div>
    <w:div w:id="1334802205">
      <w:bodyDiv w:val="1"/>
      <w:marLeft w:val="0"/>
      <w:marRight w:val="0"/>
      <w:marTop w:val="0"/>
      <w:marBottom w:val="0"/>
      <w:divBdr>
        <w:top w:val="none" w:sz="0" w:space="0" w:color="auto"/>
        <w:left w:val="none" w:sz="0" w:space="0" w:color="auto"/>
        <w:bottom w:val="none" w:sz="0" w:space="0" w:color="auto"/>
        <w:right w:val="none" w:sz="0" w:space="0" w:color="auto"/>
      </w:divBdr>
    </w:div>
    <w:div w:id="1337921044">
      <w:bodyDiv w:val="1"/>
      <w:marLeft w:val="0"/>
      <w:marRight w:val="0"/>
      <w:marTop w:val="0"/>
      <w:marBottom w:val="0"/>
      <w:divBdr>
        <w:top w:val="none" w:sz="0" w:space="0" w:color="auto"/>
        <w:left w:val="none" w:sz="0" w:space="0" w:color="auto"/>
        <w:bottom w:val="none" w:sz="0" w:space="0" w:color="auto"/>
        <w:right w:val="none" w:sz="0" w:space="0" w:color="auto"/>
      </w:divBdr>
    </w:div>
    <w:div w:id="1367365147">
      <w:bodyDiv w:val="1"/>
      <w:marLeft w:val="0"/>
      <w:marRight w:val="0"/>
      <w:marTop w:val="0"/>
      <w:marBottom w:val="0"/>
      <w:divBdr>
        <w:top w:val="none" w:sz="0" w:space="0" w:color="auto"/>
        <w:left w:val="none" w:sz="0" w:space="0" w:color="auto"/>
        <w:bottom w:val="none" w:sz="0" w:space="0" w:color="auto"/>
        <w:right w:val="none" w:sz="0" w:space="0" w:color="auto"/>
      </w:divBdr>
      <w:divsChild>
        <w:div w:id="1468165735">
          <w:marLeft w:val="0"/>
          <w:marRight w:val="0"/>
          <w:marTop w:val="0"/>
          <w:marBottom w:val="0"/>
          <w:divBdr>
            <w:top w:val="none" w:sz="0" w:space="0" w:color="auto"/>
            <w:left w:val="none" w:sz="0" w:space="0" w:color="auto"/>
            <w:bottom w:val="none" w:sz="0" w:space="0" w:color="auto"/>
            <w:right w:val="none" w:sz="0" w:space="0" w:color="auto"/>
          </w:divBdr>
        </w:div>
        <w:div w:id="2074891952">
          <w:marLeft w:val="0"/>
          <w:marRight w:val="0"/>
          <w:marTop w:val="0"/>
          <w:marBottom w:val="0"/>
          <w:divBdr>
            <w:top w:val="none" w:sz="0" w:space="0" w:color="auto"/>
            <w:left w:val="none" w:sz="0" w:space="0" w:color="auto"/>
            <w:bottom w:val="none" w:sz="0" w:space="0" w:color="auto"/>
            <w:right w:val="none" w:sz="0" w:space="0" w:color="auto"/>
          </w:divBdr>
        </w:div>
        <w:div w:id="1264453789">
          <w:marLeft w:val="0"/>
          <w:marRight w:val="0"/>
          <w:marTop w:val="0"/>
          <w:marBottom w:val="0"/>
          <w:divBdr>
            <w:top w:val="none" w:sz="0" w:space="0" w:color="auto"/>
            <w:left w:val="none" w:sz="0" w:space="0" w:color="auto"/>
            <w:bottom w:val="none" w:sz="0" w:space="0" w:color="auto"/>
            <w:right w:val="none" w:sz="0" w:space="0" w:color="auto"/>
          </w:divBdr>
        </w:div>
        <w:div w:id="1806004933">
          <w:marLeft w:val="0"/>
          <w:marRight w:val="0"/>
          <w:marTop w:val="0"/>
          <w:marBottom w:val="0"/>
          <w:divBdr>
            <w:top w:val="none" w:sz="0" w:space="0" w:color="auto"/>
            <w:left w:val="none" w:sz="0" w:space="0" w:color="auto"/>
            <w:bottom w:val="none" w:sz="0" w:space="0" w:color="auto"/>
            <w:right w:val="none" w:sz="0" w:space="0" w:color="auto"/>
          </w:divBdr>
        </w:div>
        <w:div w:id="641424948">
          <w:marLeft w:val="0"/>
          <w:marRight w:val="0"/>
          <w:marTop w:val="0"/>
          <w:marBottom w:val="0"/>
          <w:divBdr>
            <w:top w:val="none" w:sz="0" w:space="0" w:color="auto"/>
            <w:left w:val="none" w:sz="0" w:space="0" w:color="auto"/>
            <w:bottom w:val="none" w:sz="0" w:space="0" w:color="auto"/>
            <w:right w:val="none" w:sz="0" w:space="0" w:color="auto"/>
          </w:divBdr>
        </w:div>
        <w:div w:id="338848608">
          <w:marLeft w:val="0"/>
          <w:marRight w:val="0"/>
          <w:marTop w:val="0"/>
          <w:marBottom w:val="0"/>
          <w:divBdr>
            <w:top w:val="none" w:sz="0" w:space="0" w:color="auto"/>
            <w:left w:val="none" w:sz="0" w:space="0" w:color="auto"/>
            <w:bottom w:val="none" w:sz="0" w:space="0" w:color="auto"/>
            <w:right w:val="none" w:sz="0" w:space="0" w:color="auto"/>
          </w:divBdr>
        </w:div>
        <w:div w:id="1605765812">
          <w:marLeft w:val="0"/>
          <w:marRight w:val="0"/>
          <w:marTop w:val="0"/>
          <w:marBottom w:val="0"/>
          <w:divBdr>
            <w:top w:val="none" w:sz="0" w:space="0" w:color="auto"/>
            <w:left w:val="none" w:sz="0" w:space="0" w:color="auto"/>
            <w:bottom w:val="none" w:sz="0" w:space="0" w:color="auto"/>
            <w:right w:val="none" w:sz="0" w:space="0" w:color="auto"/>
          </w:divBdr>
        </w:div>
        <w:div w:id="346752616">
          <w:marLeft w:val="0"/>
          <w:marRight w:val="0"/>
          <w:marTop w:val="0"/>
          <w:marBottom w:val="0"/>
          <w:divBdr>
            <w:top w:val="none" w:sz="0" w:space="0" w:color="auto"/>
            <w:left w:val="none" w:sz="0" w:space="0" w:color="auto"/>
            <w:bottom w:val="none" w:sz="0" w:space="0" w:color="auto"/>
            <w:right w:val="none" w:sz="0" w:space="0" w:color="auto"/>
          </w:divBdr>
        </w:div>
        <w:div w:id="1505972499">
          <w:marLeft w:val="0"/>
          <w:marRight w:val="0"/>
          <w:marTop w:val="0"/>
          <w:marBottom w:val="0"/>
          <w:divBdr>
            <w:top w:val="none" w:sz="0" w:space="0" w:color="auto"/>
            <w:left w:val="none" w:sz="0" w:space="0" w:color="auto"/>
            <w:bottom w:val="none" w:sz="0" w:space="0" w:color="auto"/>
            <w:right w:val="none" w:sz="0" w:space="0" w:color="auto"/>
          </w:divBdr>
        </w:div>
        <w:div w:id="1962347421">
          <w:marLeft w:val="0"/>
          <w:marRight w:val="0"/>
          <w:marTop w:val="0"/>
          <w:marBottom w:val="0"/>
          <w:divBdr>
            <w:top w:val="none" w:sz="0" w:space="0" w:color="auto"/>
            <w:left w:val="none" w:sz="0" w:space="0" w:color="auto"/>
            <w:bottom w:val="none" w:sz="0" w:space="0" w:color="auto"/>
            <w:right w:val="none" w:sz="0" w:space="0" w:color="auto"/>
          </w:divBdr>
        </w:div>
        <w:div w:id="31997831">
          <w:marLeft w:val="0"/>
          <w:marRight w:val="0"/>
          <w:marTop w:val="0"/>
          <w:marBottom w:val="0"/>
          <w:divBdr>
            <w:top w:val="none" w:sz="0" w:space="0" w:color="auto"/>
            <w:left w:val="none" w:sz="0" w:space="0" w:color="auto"/>
            <w:bottom w:val="none" w:sz="0" w:space="0" w:color="auto"/>
            <w:right w:val="none" w:sz="0" w:space="0" w:color="auto"/>
          </w:divBdr>
        </w:div>
        <w:div w:id="1031031237">
          <w:marLeft w:val="0"/>
          <w:marRight w:val="0"/>
          <w:marTop w:val="0"/>
          <w:marBottom w:val="0"/>
          <w:divBdr>
            <w:top w:val="none" w:sz="0" w:space="0" w:color="auto"/>
            <w:left w:val="none" w:sz="0" w:space="0" w:color="auto"/>
            <w:bottom w:val="none" w:sz="0" w:space="0" w:color="auto"/>
            <w:right w:val="none" w:sz="0" w:space="0" w:color="auto"/>
          </w:divBdr>
        </w:div>
        <w:div w:id="882836875">
          <w:marLeft w:val="0"/>
          <w:marRight w:val="0"/>
          <w:marTop w:val="0"/>
          <w:marBottom w:val="0"/>
          <w:divBdr>
            <w:top w:val="none" w:sz="0" w:space="0" w:color="auto"/>
            <w:left w:val="none" w:sz="0" w:space="0" w:color="auto"/>
            <w:bottom w:val="none" w:sz="0" w:space="0" w:color="auto"/>
            <w:right w:val="none" w:sz="0" w:space="0" w:color="auto"/>
          </w:divBdr>
        </w:div>
        <w:div w:id="540677377">
          <w:marLeft w:val="0"/>
          <w:marRight w:val="0"/>
          <w:marTop w:val="0"/>
          <w:marBottom w:val="0"/>
          <w:divBdr>
            <w:top w:val="none" w:sz="0" w:space="0" w:color="auto"/>
            <w:left w:val="none" w:sz="0" w:space="0" w:color="auto"/>
            <w:bottom w:val="none" w:sz="0" w:space="0" w:color="auto"/>
            <w:right w:val="none" w:sz="0" w:space="0" w:color="auto"/>
          </w:divBdr>
        </w:div>
        <w:div w:id="1511944479">
          <w:marLeft w:val="0"/>
          <w:marRight w:val="0"/>
          <w:marTop w:val="0"/>
          <w:marBottom w:val="0"/>
          <w:divBdr>
            <w:top w:val="none" w:sz="0" w:space="0" w:color="auto"/>
            <w:left w:val="none" w:sz="0" w:space="0" w:color="auto"/>
            <w:bottom w:val="none" w:sz="0" w:space="0" w:color="auto"/>
            <w:right w:val="none" w:sz="0" w:space="0" w:color="auto"/>
          </w:divBdr>
        </w:div>
        <w:div w:id="1830829424">
          <w:marLeft w:val="0"/>
          <w:marRight w:val="0"/>
          <w:marTop w:val="0"/>
          <w:marBottom w:val="0"/>
          <w:divBdr>
            <w:top w:val="none" w:sz="0" w:space="0" w:color="auto"/>
            <w:left w:val="none" w:sz="0" w:space="0" w:color="auto"/>
            <w:bottom w:val="none" w:sz="0" w:space="0" w:color="auto"/>
            <w:right w:val="none" w:sz="0" w:space="0" w:color="auto"/>
          </w:divBdr>
        </w:div>
        <w:div w:id="184056214">
          <w:marLeft w:val="0"/>
          <w:marRight w:val="0"/>
          <w:marTop w:val="0"/>
          <w:marBottom w:val="0"/>
          <w:divBdr>
            <w:top w:val="none" w:sz="0" w:space="0" w:color="auto"/>
            <w:left w:val="none" w:sz="0" w:space="0" w:color="auto"/>
            <w:bottom w:val="none" w:sz="0" w:space="0" w:color="auto"/>
            <w:right w:val="none" w:sz="0" w:space="0" w:color="auto"/>
          </w:divBdr>
        </w:div>
        <w:div w:id="600990796">
          <w:marLeft w:val="0"/>
          <w:marRight w:val="0"/>
          <w:marTop w:val="0"/>
          <w:marBottom w:val="0"/>
          <w:divBdr>
            <w:top w:val="none" w:sz="0" w:space="0" w:color="auto"/>
            <w:left w:val="none" w:sz="0" w:space="0" w:color="auto"/>
            <w:bottom w:val="none" w:sz="0" w:space="0" w:color="auto"/>
            <w:right w:val="none" w:sz="0" w:space="0" w:color="auto"/>
          </w:divBdr>
        </w:div>
        <w:div w:id="1566719857">
          <w:marLeft w:val="0"/>
          <w:marRight w:val="0"/>
          <w:marTop w:val="0"/>
          <w:marBottom w:val="0"/>
          <w:divBdr>
            <w:top w:val="none" w:sz="0" w:space="0" w:color="auto"/>
            <w:left w:val="none" w:sz="0" w:space="0" w:color="auto"/>
            <w:bottom w:val="none" w:sz="0" w:space="0" w:color="auto"/>
            <w:right w:val="none" w:sz="0" w:space="0" w:color="auto"/>
          </w:divBdr>
        </w:div>
      </w:divsChild>
    </w:div>
    <w:div w:id="1404568755">
      <w:bodyDiv w:val="1"/>
      <w:marLeft w:val="0"/>
      <w:marRight w:val="0"/>
      <w:marTop w:val="0"/>
      <w:marBottom w:val="0"/>
      <w:divBdr>
        <w:top w:val="none" w:sz="0" w:space="0" w:color="auto"/>
        <w:left w:val="none" w:sz="0" w:space="0" w:color="auto"/>
        <w:bottom w:val="none" w:sz="0" w:space="0" w:color="auto"/>
        <w:right w:val="none" w:sz="0" w:space="0" w:color="auto"/>
      </w:divBdr>
    </w:div>
    <w:div w:id="1409309123">
      <w:bodyDiv w:val="1"/>
      <w:marLeft w:val="0"/>
      <w:marRight w:val="0"/>
      <w:marTop w:val="0"/>
      <w:marBottom w:val="0"/>
      <w:divBdr>
        <w:top w:val="none" w:sz="0" w:space="0" w:color="auto"/>
        <w:left w:val="none" w:sz="0" w:space="0" w:color="auto"/>
        <w:bottom w:val="none" w:sz="0" w:space="0" w:color="auto"/>
        <w:right w:val="none" w:sz="0" w:space="0" w:color="auto"/>
      </w:divBdr>
    </w:div>
    <w:div w:id="1438865942">
      <w:bodyDiv w:val="1"/>
      <w:marLeft w:val="0"/>
      <w:marRight w:val="0"/>
      <w:marTop w:val="0"/>
      <w:marBottom w:val="0"/>
      <w:divBdr>
        <w:top w:val="none" w:sz="0" w:space="0" w:color="auto"/>
        <w:left w:val="none" w:sz="0" w:space="0" w:color="auto"/>
        <w:bottom w:val="none" w:sz="0" w:space="0" w:color="auto"/>
        <w:right w:val="none" w:sz="0" w:space="0" w:color="auto"/>
      </w:divBdr>
    </w:div>
    <w:div w:id="1439908130">
      <w:bodyDiv w:val="1"/>
      <w:marLeft w:val="0"/>
      <w:marRight w:val="0"/>
      <w:marTop w:val="0"/>
      <w:marBottom w:val="0"/>
      <w:divBdr>
        <w:top w:val="none" w:sz="0" w:space="0" w:color="auto"/>
        <w:left w:val="none" w:sz="0" w:space="0" w:color="auto"/>
        <w:bottom w:val="none" w:sz="0" w:space="0" w:color="auto"/>
        <w:right w:val="none" w:sz="0" w:space="0" w:color="auto"/>
      </w:divBdr>
    </w:div>
    <w:div w:id="1449425798">
      <w:bodyDiv w:val="1"/>
      <w:marLeft w:val="0"/>
      <w:marRight w:val="0"/>
      <w:marTop w:val="0"/>
      <w:marBottom w:val="0"/>
      <w:divBdr>
        <w:top w:val="none" w:sz="0" w:space="0" w:color="auto"/>
        <w:left w:val="none" w:sz="0" w:space="0" w:color="auto"/>
        <w:bottom w:val="none" w:sz="0" w:space="0" w:color="auto"/>
        <w:right w:val="none" w:sz="0" w:space="0" w:color="auto"/>
      </w:divBdr>
    </w:div>
    <w:div w:id="1466434325">
      <w:bodyDiv w:val="1"/>
      <w:marLeft w:val="0"/>
      <w:marRight w:val="0"/>
      <w:marTop w:val="0"/>
      <w:marBottom w:val="0"/>
      <w:divBdr>
        <w:top w:val="none" w:sz="0" w:space="0" w:color="auto"/>
        <w:left w:val="none" w:sz="0" w:space="0" w:color="auto"/>
        <w:bottom w:val="none" w:sz="0" w:space="0" w:color="auto"/>
        <w:right w:val="none" w:sz="0" w:space="0" w:color="auto"/>
      </w:divBdr>
    </w:div>
    <w:div w:id="1480418426">
      <w:bodyDiv w:val="1"/>
      <w:marLeft w:val="0"/>
      <w:marRight w:val="0"/>
      <w:marTop w:val="0"/>
      <w:marBottom w:val="0"/>
      <w:divBdr>
        <w:top w:val="none" w:sz="0" w:space="0" w:color="auto"/>
        <w:left w:val="none" w:sz="0" w:space="0" w:color="auto"/>
        <w:bottom w:val="none" w:sz="0" w:space="0" w:color="auto"/>
        <w:right w:val="none" w:sz="0" w:space="0" w:color="auto"/>
      </w:divBdr>
    </w:div>
    <w:div w:id="1485857194">
      <w:bodyDiv w:val="1"/>
      <w:marLeft w:val="0"/>
      <w:marRight w:val="0"/>
      <w:marTop w:val="0"/>
      <w:marBottom w:val="0"/>
      <w:divBdr>
        <w:top w:val="none" w:sz="0" w:space="0" w:color="auto"/>
        <w:left w:val="none" w:sz="0" w:space="0" w:color="auto"/>
        <w:bottom w:val="none" w:sz="0" w:space="0" w:color="auto"/>
        <w:right w:val="none" w:sz="0" w:space="0" w:color="auto"/>
      </w:divBdr>
    </w:div>
    <w:div w:id="1528789840">
      <w:bodyDiv w:val="1"/>
      <w:marLeft w:val="0"/>
      <w:marRight w:val="0"/>
      <w:marTop w:val="0"/>
      <w:marBottom w:val="0"/>
      <w:divBdr>
        <w:top w:val="none" w:sz="0" w:space="0" w:color="auto"/>
        <w:left w:val="none" w:sz="0" w:space="0" w:color="auto"/>
        <w:bottom w:val="none" w:sz="0" w:space="0" w:color="auto"/>
        <w:right w:val="none" w:sz="0" w:space="0" w:color="auto"/>
      </w:divBdr>
    </w:div>
    <w:div w:id="1545482974">
      <w:bodyDiv w:val="1"/>
      <w:marLeft w:val="0"/>
      <w:marRight w:val="0"/>
      <w:marTop w:val="0"/>
      <w:marBottom w:val="0"/>
      <w:divBdr>
        <w:top w:val="none" w:sz="0" w:space="0" w:color="auto"/>
        <w:left w:val="none" w:sz="0" w:space="0" w:color="auto"/>
        <w:bottom w:val="none" w:sz="0" w:space="0" w:color="auto"/>
        <w:right w:val="none" w:sz="0" w:space="0" w:color="auto"/>
      </w:divBdr>
    </w:div>
    <w:div w:id="1592620009">
      <w:bodyDiv w:val="1"/>
      <w:marLeft w:val="0"/>
      <w:marRight w:val="0"/>
      <w:marTop w:val="0"/>
      <w:marBottom w:val="0"/>
      <w:divBdr>
        <w:top w:val="none" w:sz="0" w:space="0" w:color="auto"/>
        <w:left w:val="none" w:sz="0" w:space="0" w:color="auto"/>
        <w:bottom w:val="none" w:sz="0" w:space="0" w:color="auto"/>
        <w:right w:val="none" w:sz="0" w:space="0" w:color="auto"/>
      </w:divBdr>
    </w:div>
    <w:div w:id="1592810083">
      <w:bodyDiv w:val="1"/>
      <w:marLeft w:val="0"/>
      <w:marRight w:val="0"/>
      <w:marTop w:val="0"/>
      <w:marBottom w:val="0"/>
      <w:divBdr>
        <w:top w:val="none" w:sz="0" w:space="0" w:color="auto"/>
        <w:left w:val="none" w:sz="0" w:space="0" w:color="auto"/>
        <w:bottom w:val="none" w:sz="0" w:space="0" w:color="auto"/>
        <w:right w:val="none" w:sz="0" w:space="0" w:color="auto"/>
      </w:divBdr>
    </w:div>
    <w:div w:id="1607813085">
      <w:bodyDiv w:val="1"/>
      <w:marLeft w:val="0"/>
      <w:marRight w:val="0"/>
      <w:marTop w:val="0"/>
      <w:marBottom w:val="0"/>
      <w:divBdr>
        <w:top w:val="none" w:sz="0" w:space="0" w:color="auto"/>
        <w:left w:val="none" w:sz="0" w:space="0" w:color="auto"/>
        <w:bottom w:val="none" w:sz="0" w:space="0" w:color="auto"/>
        <w:right w:val="none" w:sz="0" w:space="0" w:color="auto"/>
      </w:divBdr>
    </w:div>
    <w:div w:id="1614899581">
      <w:bodyDiv w:val="1"/>
      <w:marLeft w:val="0"/>
      <w:marRight w:val="0"/>
      <w:marTop w:val="0"/>
      <w:marBottom w:val="0"/>
      <w:divBdr>
        <w:top w:val="none" w:sz="0" w:space="0" w:color="auto"/>
        <w:left w:val="none" w:sz="0" w:space="0" w:color="auto"/>
        <w:bottom w:val="none" w:sz="0" w:space="0" w:color="auto"/>
        <w:right w:val="none" w:sz="0" w:space="0" w:color="auto"/>
      </w:divBdr>
    </w:div>
    <w:div w:id="1632518058">
      <w:bodyDiv w:val="1"/>
      <w:marLeft w:val="0"/>
      <w:marRight w:val="0"/>
      <w:marTop w:val="0"/>
      <w:marBottom w:val="0"/>
      <w:divBdr>
        <w:top w:val="none" w:sz="0" w:space="0" w:color="auto"/>
        <w:left w:val="none" w:sz="0" w:space="0" w:color="auto"/>
        <w:bottom w:val="none" w:sz="0" w:space="0" w:color="auto"/>
        <w:right w:val="none" w:sz="0" w:space="0" w:color="auto"/>
      </w:divBdr>
    </w:div>
    <w:div w:id="1659115274">
      <w:bodyDiv w:val="1"/>
      <w:marLeft w:val="0"/>
      <w:marRight w:val="0"/>
      <w:marTop w:val="0"/>
      <w:marBottom w:val="0"/>
      <w:divBdr>
        <w:top w:val="none" w:sz="0" w:space="0" w:color="auto"/>
        <w:left w:val="none" w:sz="0" w:space="0" w:color="auto"/>
        <w:bottom w:val="none" w:sz="0" w:space="0" w:color="auto"/>
        <w:right w:val="none" w:sz="0" w:space="0" w:color="auto"/>
      </w:divBdr>
    </w:div>
    <w:div w:id="1667857313">
      <w:bodyDiv w:val="1"/>
      <w:marLeft w:val="0"/>
      <w:marRight w:val="0"/>
      <w:marTop w:val="0"/>
      <w:marBottom w:val="0"/>
      <w:divBdr>
        <w:top w:val="none" w:sz="0" w:space="0" w:color="auto"/>
        <w:left w:val="none" w:sz="0" w:space="0" w:color="auto"/>
        <w:bottom w:val="none" w:sz="0" w:space="0" w:color="auto"/>
        <w:right w:val="none" w:sz="0" w:space="0" w:color="auto"/>
      </w:divBdr>
    </w:div>
    <w:div w:id="1679652812">
      <w:bodyDiv w:val="1"/>
      <w:marLeft w:val="0"/>
      <w:marRight w:val="0"/>
      <w:marTop w:val="0"/>
      <w:marBottom w:val="0"/>
      <w:divBdr>
        <w:top w:val="none" w:sz="0" w:space="0" w:color="auto"/>
        <w:left w:val="none" w:sz="0" w:space="0" w:color="auto"/>
        <w:bottom w:val="none" w:sz="0" w:space="0" w:color="auto"/>
        <w:right w:val="none" w:sz="0" w:space="0" w:color="auto"/>
      </w:divBdr>
    </w:div>
    <w:div w:id="1683975956">
      <w:bodyDiv w:val="1"/>
      <w:marLeft w:val="0"/>
      <w:marRight w:val="0"/>
      <w:marTop w:val="0"/>
      <w:marBottom w:val="0"/>
      <w:divBdr>
        <w:top w:val="none" w:sz="0" w:space="0" w:color="auto"/>
        <w:left w:val="none" w:sz="0" w:space="0" w:color="auto"/>
        <w:bottom w:val="none" w:sz="0" w:space="0" w:color="auto"/>
        <w:right w:val="none" w:sz="0" w:space="0" w:color="auto"/>
      </w:divBdr>
    </w:div>
    <w:div w:id="1724677880">
      <w:bodyDiv w:val="1"/>
      <w:marLeft w:val="0"/>
      <w:marRight w:val="0"/>
      <w:marTop w:val="0"/>
      <w:marBottom w:val="0"/>
      <w:divBdr>
        <w:top w:val="none" w:sz="0" w:space="0" w:color="auto"/>
        <w:left w:val="none" w:sz="0" w:space="0" w:color="auto"/>
        <w:bottom w:val="none" w:sz="0" w:space="0" w:color="auto"/>
        <w:right w:val="none" w:sz="0" w:space="0" w:color="auto"/>
      </w:divBdr>
    </w:div>
    <w:div w:id="1737508525">
      <w:bodyDiv w:val="1"/>
      <w:marLeft w:val="0"/>
      <w:marRight w:val="0"/>
      <w:marTop w:val="0"/>
      <w:marBottom w:val="0"/>
      <w:divBdr>
        <w:top w:val="none" w:sz="0" w:space="0" w:color="auto"/>
        <w:left w:val="none" w:sz="0" w:space="0" w:color="auto"/>
        <w:bottom w:val="none" w:sz="0" w:space="0" w:color="auto"/>
        <w:right w:val="none" w:sz="0" w:space="0" w:color="auto"/>
      </w:divBdr>
    </w:div>
    <w:div w:id="1793211743">
      <w:bodyDiv w:val="1"/>
      <w:marLeft w:val="0"/>
      <w:marRight w:val="0"/>
      <w:marTop w:val="0"/>
      <w:marBottom w:val="0"/>
      <w:divBdr>
        <w:top w:val="none" w:sz="0" w:space="0" w:color="auto"/>
        <w:left w:val="none" w:sz="0" w:space="0" w:color="auto"/>
        <w:bottom w:val="none" w:sz="0" w:space="0" w:color="auto"/>
        <w:right w:val="none" w:sz="0" w:space="0" w:color="auto"/>
      </w:divBdr>
    </w:div>
    <w:div w:id="1802065910">
      <w:bodyDiv w:val="1"/>
      <w:marLeft w:val="0"/>
      <w:marRight w:val="0"/>
      <w:marTop w:val="0"/>
      <w:marBottom w:val="0"/>
      <w:divBdr>
        <w:top w:val="none" w:sz="0" w:space="0" w:color="auto"/>
        <w:left w:val="none" w:sz="0" w:space="0" w:color="auto"/>
        <w:bottom w:val="none" w:sz="0" w:space="0" w:color="auto"/>
        <w:right w:val="none" w:sz="0" w:space="0" w:color="auto"/>
      </w:divBdr>
    </w:div>
    <w:div w:id="1802768890">
      <w:bodyDiv w:val="1"/>
      <w:marLeft w:val="0"/>
      <w:marRight w:val="0"/>
      <w:marTop w:val="0"/>
      <w:marBottom w:val="0"/>
      <w:divBdr>
        <w:top w:val="none" w:sz="0" w:space="0" w:color="auto"/>
        <w:left w:val="none" w:sz="0" w:space="0" w:color="auto"/>
        <w:bottom w:val="none" w:sz="0" w:space="0" w:color="auto"/>
        <w:right w:val="none" w:sz="0" w:space="0" w:color="auto"/>
      </w:divBdr>
    </w:div>
    <w:div w:id="1839340968">
      <w:bodyDiv w:val="1"/>
      <w:marLeft w:val="0"/>
      <w:marRight w:val="0"/>
      <w:marTop w:val="0"/>
      <w:marBottom w:val="0"/>
      <w:divBdr>
        <w:top w:val="none" w:sz="0" w:space="0" w:color="auto"/>
        <w:left w:val="none" w:sz="0" w:space="0" w:color="auto"/>
        <w:bottom w:val="none" w:sz="0" w:space="0" w:color="auto"/>
        <w:right w:val="none" w:sz="0" w:space="0" w:color="auto"/>
      </w:divBdr>
    </w:div>
    <w:div w:id="1845629595">
      <w:bodyDiv w:val="1"/>
      <w:marLeft w:val="0"/>
      <w:marRight w:val="0"/>
      <w:marTop w:val="0"/>
      <w:marBottom w:val="0"/>
      <w:divBdr>
        <w:top w:val="none" w:sz="0" w:space="0" w:color="auto"/>
        <w:left w:val="none" w:sz="0" w:space="0" w:color="auto"/>
        <w:bottom w:val="none" w:sz="0" w:space="0" w:color="auto"/>
        <w:right w:val="none" w:sz="0" w:space="0" w:color="auto"/>
      </w:divBdr>
    </w:div>
    <w:div w:id="1866016311">
      <w:bodyDiv w:val="1"/>
      <w:marLeft w:val="0"/>
      <w:marRight w:val="0"/>
      <w:marTop w:val="0"/>
      <w:marBottom w:val="0"/>
      <w:divBdr>
        <w:top w:val="none" w:sz="0" w:space="0" w:color="auto"/>
        <w:left w:val="none" w:sz="0" w:space="0" w:color="auto"/>
        <w:bottom w:val="none" w:sz="0" w:space="0" w:color="auto"/>
        <w:right w:val="none" w:sz="0" w:space="0" w:color="auto"/>
      </w:divBdr>
    </w:div>
    <w:div w:id="1890146510">
      <w:bodyDiv w:val="1"/>
      <w:marLeft w:val="0"/>
      <w:marRight w:val="0"/>
      <w:marTop w:val="0"/>
      <w:marBottom w:val="0"/>
      <w:divBdr>
        <w:top w:val="none" w:sz="0" w:space="0" w:color="auto"/>
        <w:left w:val="none" w:sz="0" w:space="0" w:color="auto"/>
        <w:bottom w:val="none" w:sz="0" w:space="0" w:color="auto"/>
        <w:right w:val="none" w:sz="0" w:space="0" w:color="auto"/>
      </w:divBdr>
    </w:div>
    <w:div w:id="1906136285">
      <w:bodyDiv w:val="1"/>
      <w:marLeft w:val="0"/>
      <w:marRight w:val="0"/>
      <w:marTop w:val="0"/>
      <w:marBottom w:val="0"/>
      <w:divBdr>
        <w:top w:val="none" w:sz="0" w:space="0" w:color="auto"/>
        <w:left w:val="none" w:sz="0" w:space="0" w:color="auto"/>
        <w:bottom w:val="none" w:sz="0" w:space="0" w:color="auto"/>
        <w:right w:val="none" w:sz="0" w:space="0" w:color="auto"/>
      </w:divBdr>
    </w:div>
    <w:div w:id="1908954493">
      <w:bodyDiv w:val="1"/>
      <w:marLeft w:val="0"/>
      <w:marRight w:val="0"/>
      <w:marTop w:val="0"/>
      <w:marBottom w:val="0"/>
      <w:divBdr>
        <w:top w:val="none" w:sz="0" w:space="0" w:color="auto"/>
        <w:left w:val="none" w:sz="0" w:space="0" w:color="auto"/>
        <w:bottom w:val="none" w:sz="0" w:space="0" w:color="auto"/>
        <w:right w:val="none" w:sz="0" w:space="0" w:color="auto"/>
      </w:divBdr>
    </w:div>
    <w:div w:id="1924293207">
      <w:bodyDiv w:val="1"/>
      <w:marLeft w:val="0"/>
      <w:marRight w:val="0"/>
      <w:marTop w:val="0"/>
      <w:marBottom w:val="0"/>
      <w:divBdr>
        <w:top w:val="none" w:sz="0" w:space="0" w:color="auto"/>
        <w:left w:val="none" w:sz="0" w:space="0" w:color="auto"/>
        <w:bottom w:val="none" w:sz="0" w:space="0" w:color="auto"/>
        <w:right w:val="none" w:sz="0" w:space="0" w:color="auto"/>
      </w:divBdr>
    </w:div>
    <w:div w:id="1935476305">
      <w:bodyDiv w:val="1"/>
      <w:marLeft w:val="0"/>
      <w:marRight w:val="0"/>
      <w:marTop w:val="0"/>
      <w:marBottom w:val="0"/>
      <w:divBdr>
        <w:top w:val="none" w:sz="0" w:space="0" w:color="auto"/>
        <w:left w:val="none" w:sz="0" w:space="0" w:color="auto"/>
        <w:bottom w:val="none" w:sz="0" w:space="0" w:color="auto"/>
        <w:right w:val="none" w:sz="0" w:space="0" w:color="auto"/>
      </w:divBdr>
    </w:div>
    <w:div w:id="1959296177">
      <w:bodyDiv w:val="1"/>
      <w:marLeft w:val="0"/>
      <w:marRight w:val="0"/>
      <w:marTop w:val="0"/>
      <w:marBottom w:val="0"/>
      <w:divBdr>
        <w:top w:val="none" w:sz="0" w:space="0" w:color="auto"/>
        <w:left w:val="none" w:sz="0" w:space="0" w:color="auto"/>
        <w:bottom w:val="none" w:sz="0" w:space="0" w:color="auto"/>
        <w:right w:val="none" w:sz="0" w:space="0" w:color="auto"/>
      </w:divBdr>
    </w:div>
    <w:div w:id="2004622391">
      <w:bodyDiv w:val="1"/>
      <w:marLeft w:val="0"/>
      <w:marRight w:val="0"/>
      <w:marTop w:val="0"/>
      <w:marBottom w:val="0"/>
      <w:divBdr>
        <w:top w:val="none" w:sz="0" w:space="0" w:color="auto"/>
        <w:left w:val="none" w:sz="0" w:space="0" w:color="auto"/>
        <w:bottom w:val="none" w:sz="0" w:space="0" w:color="auto"/>
        <w:right w:val="none" w:sz="0" w:space="0" w:color="auto"/>
      </w:divBdr>
    </w:div>
    <w:div w:id="2014070617">
      <w:bodyDiv w:val="1"/>
      <w:marLeft w:val="0"/>
      <w:marRight w:val="0"/>
      <w:marTop w:val="0"/>
      <w:marBottom w:val="0"/>
      <w:divBdr>
        <w:top w:val="none" w:sz="0" w:space="0" w:color="auto"/>
        <w:left w:val="none" w:sz="0" w:space="0" w:color="auto"/>
        <w:bottom w:val="none" w:sz="0" w:space="0" w:color="auto"/>
        <w:right w:val="none" w:sz="0" w:space="0" w:color="auto"/>
      </w:divBdr>
    </w:div>
    <w:div w:id="2054650802">
      <w:bodyDiv w:val="1"/>
      <w:marLeft w:val="0"/>
      <w:marRight w:val="0"/>
      <w:marTop w:val="0"/>
      <w:marBottom w:val="0"/>
      <w:divBdr>
        <w:top w:val="none" w:sz="0" w:space="0" w:color="auto"/>
        <w:left w:val="none" w:sz="0" w:space="0" w:color="auto"/>
        <w:bottom w:val="none" w:sz="0" w:space="0" w:color="auto"/>
        <w:right w:val="none" w:sz="0" w:space="0" w:color="auto"/>
      </w:divBdr>
    </w:div>
    <w:div w:id="2095086267">
      <w:bodyDiv w:val="1"/>
      <w:marLeft w:val="0"/>
      <w:marRight w:val="0"/>
      <w:marTop w:val="0"/>
      <w:marBottom w:val="0"/>
      <w:divBdr>
        <w:top w:val="none" w:sz="0" w:space="0" w:color="auto"/>
        <w:left w:val="none" w:sz="0" w:space="0" w:color="auto"/>
        <w:bottom w:val="none" w:sz="0" w:space="0" w:color="auto"/>
        <w:right w:val="none" w:sz="0" w:space="0" w:color="auto"/>
      </w:divBdr>
    </w:div>
    <w:div w:id="2103984929">
      <w:bodyDiv w:val="1"/>
      <w:marLeft w:val="0"/>
      <w:marRight w:val="0"/>
      <w:marTop w:val="0"/>
      <w:marBottom w:val="0"/>
      <w:divBdr>
        <w:top w:val="none" w:sz="0" w:space="0" w:color="auto"/>
        <w:left w:val="none" w:sz="0" w:space="0" w:color="auto"/>
        <w:bottom w:val="none" w:sz="0" w:space="0" w:color="auto"/>
        <w:right w:val="none" w:sz="0" w:space="0" w:color="auto"/>
      </w:divBdr>
    </w:div>
    <w:div w:id="2131165907">
      <w:bodyDiv w:val="1"/>
      <w:marLeft w:val="0"/>
      <w:marRight w:val="0"/>
      <w:marTop w:val="0"/>
      <w:marBottom w:val="0"/>
      <w:divBdr>
        <w:top w:val="none" w:sz="0" w:space="0" w:color="auto"/>
        <w:left w:val="none" w:sz="0" w:space="0" w:color="auto"/>
        <w:bottom w:val="none" w:sz="0" w:space="0" w:color="auto"/>
        <w:right w:val="none" w:sz="0" w:space="0" w:color="auto"/>
      </w:divBdr>
    </w:div>
    <w:div w:id="2139102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consultantplus://offline/ref=02CE67D742F60283E03C608C0DC583BD3F0FDF559AEB15224A01FD517359C58040AC4389B618uDXA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garantF1://70636874.0" TargetMode="Externa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2E7DF1347C98F79900CDA60DB047AB892B275D668AE5A1FACA6DB18E3455F73C946FA498F209A652EF1A94CFE0C7A36735E1FD9C1B00W7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9D9319-9FCE-4DC8-82E5-7C2E3A82F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39600</Words>
  <Characters>225724</Characters>
  <Application>Microsoft Office Word</Application>
  <DocSecurity>0</DocSecurity>
  <Lines>1881</Lines>
  <Paragraphs>529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СЭТ</dc:creator>
  <cp:keywords/>
  <dc:description/>
  <cp:lastModifiedBy>Ирина Листопадова</cp:lastModifiedBy>
  <cp:revision>3</cp:revision>
  <cp:lastPrinted>2022-03-24T08:55:00Z</cp:lastPrinted>
  <dcterms:created xsi:type="dcterms:W3CDTF">2022-06-02T23:24:00Z</dcterms:created>
  <dcterms:modified xsi:type="dcterms:W3CDTF">2022-06-02T23:24:00Z</dcterms:modified>
</cp:coreProperties>
</file>